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6D6FDC" w14:textId="77777777" w:rsidR="00EA362E" w:rsidRPr="00AE7C7C" w:rsidRDefault="00EA362E" w:rsidP="00EA362E">
      <w:pPr>
        <w:spacing w:line="240" w:lineRule="auto"/>
        <w:rPr>
          <w:sz w:val="14"/>
          <w:szCs w:val="14"/>
        </w:rPr>
      </w:pPr>
    </w:p>
    <w:p w14:paraId="3B6902D2" w14:textId="77777777" w:rsidR="00EA362E" w:rsidRPr="0078684C" w:rsidRDefault="00EA362E" w:rsidP="00EA362E">
      <w:pPr>
        <w:pStyle w:val="ToolNumber"/>
        <w:spacing w:line="240" w:lineRule="auto"/>
      </w:pPr>
      <w:r w:rsidRPr="0000267B">
        <w:drawing>
          <wp:anchor distT="0" distB="0" distL="114300" distR="114300" simplePos="0" relativeHeight="252070912" behindDoc="1" locked="0" layoutInCell="1" allowOverlap="1" wp14:anchorId="1D284929" wp14:editId="2D8B7BA5">
            <wp:simplePos x="0" y="0"/>
            <wp:positionH relativeFrom="page">
              <wp:posOffset>-38100</wp:posOffset>
            </wp:positionH>
            <wp:positionV relativeFrom="page">
              <wp:posOffset>41275</wp:posOffset>
            </wp:positionV>
            <wp:extent cx="7772400" cy="987425"/>
            <wp:effectExtent l="0" t="0" r="0" b="3175"/>
            <wp:wrapNone/>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t>25</w:t>
      </w:r>
    </w:p>
    <w:p w14:paraId="469DF919" w14:textId="0022B2CE" w:rsidR="00363E25" w:rsidRPr="00D37D69" w:rsidRDefault="006F66C6" w:rsidP="00363E25">
      <w:pPr>
        <w:pStyle w:val="Heading1"/>
      </w:pPr>
      <w:r w:rsidRPr="00240A34">
        <w:rPr>
          <w:noProof/>
        </w:rPr>
        <w:drawing>
          <wp:anchor distT="0" distB="0" distL="114300" distR="114300" simplePos="0" relativeHeight="251742208" behindDoc="0" locked="0" layoutInCell="1" allowOverlap="1" wp14:anchorId="5B1322EF" wp14:editId="25A7D1FE">
            <wp:simplePos x="0" y="0"/>
            <wp:positionH relativeFrom="column">
              <wp:posOffset>-127000</wp:posOffset>
            </wp:positionH>
            <wp:positionV relativeFrom="paragraph">
              <wp:posOffset>401955</wp:posOffset>
            </wp:positionV>
            <wp:extent cx="1727835" cy="1820545"/>
            <wp:effectExtent l="0" t="0" r="0" b="8255"/>
            <wp:wrapTight wrapText="bothSides">
              <wp:wrapPolygon edited="0">
                <wp:start x="0" y="0"/>
                <wp:lineTo x="0" y="21397"/>
                <wp:lineTo x="21275" y="21397"/>
                <wp:lineTo x="21275" y="0"/>
                <wp:lineTo x="0" y="0"/>
              </wp:wrapPolygon>
            </wp:wrapTight>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27835" cy="182054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363E25" w:rsidRPr="00363E25">
        <w:rPr>
          <w:iCs/>
        </w:rPr>
        <w:t xml:space="preserve">Developing </w:t>
      </w:r>
      <w:r w:rsidR="00CF2D93">
        <w:rPr>
          <w:iCs/>
        </w:rPr>
        <w:t>a</w:t>
      </w:r>
      <w:r w:rsidR="00363E25" w:rsidRPr="00363E25">
        <w:rPr>
          <w:iCs/>
        </w:rPr>
        <w:t>s an Afterschool and Expanded Learning Professional</w:t>
      </w:r>
    </w:p>
    <w:p w14:paraId="356A1783" w14:textId="6AB36B27" w:rsidR="00240A34" w:rsidRPr="00240A34" w:rsidRDefault="00240A34" w:rsidP="00715F6B">
      <w:pPr>
        <w:pStyle w:val="BodyText"/>
      </w:pPr>
      <w:r w:rsidRPr="00240A34">
        <w:t>In Chapter 1, you learned that program staff members should not only have an opportunity to reflect on their own practices but also feel as though they have an opportunity to progress in their career. It is important to encourage staff members to reflect on their strengths and identify areas of growth that will help them in their career and contribute to the overall success of the program.</w:t>
      </w:r>
    </w:p>
    <w:p w14:paraId="4214D7DA" w14:textId="7B77F627" w:rsidR="00240A34" w:rsidRPr="00584ECF" w:rsidRDefault="00240A34" w:rsidP="00715F6B">
      <w:pPr>
        <w:pStyle w:val="Body-AllItalic"/>
      </w:pPr>
      <w:r w:rsidRPr="00584ECF">
        <w:rPr>
          <w:b/>
        </w:rPr>
        <w:t>Directions:</w:t>
      </w:r>
      <w:r w:rsidRPr="00584ECF">
        <w:t xml:space="preserve"> Read each action in the column on the left and then use the grid to determine where you are in your development as an afterschool and expanded learning professional. Highlight or mark that square for each action and work with your team or supervisor to develop a plan for ongoing professional development. Use these ratings when completing </w:t>
      </w:r>
      <w:r w:rsidRPr="0058518B">
        <w:rPr>
          <w:b/>
        </w:rPr>
        <w:t>Tool 26</w:t>
      </w:r>
      <w:r w:rsidRPr="00584ECF">
        <w:t>—a self-assessment of effective</w:t>
      </w:r>
      <w:bookmarkStart w:id="0" w:name="_GoBack"/>
      <w:bookmarkEnd w:id="0"/>
      <w:r w:rsidRPr="00584ECF">
        <w:t xml:space="preserve"> qualities. Together, these two tools can help staff members identify a professional development plan.</w:t>
      </w:r>
    </w:p>
    <w:p w14:paraId="34A9A92D" w14:textId="77777777" w:rsidR="00584ECF" w:rsidRPr="00584ECF" w:rsidRDefault="00584ECF" w:rsidP="00584ECF">
      <w:pPr>
        <w:pStyle w:val="BodyText"/>
      </w:pPr>
    </w:p>
    <w:tbl>
      <w:tblPr>
        <w:tblStyle w:val="TableWithGray"/>
        <w:tblW w:w="5000" w:type="pct"/>
        <w:tblLook w:val="04A0" w:firstRow="1" w:lastRow="0" w:firstColumn="1" w:lastColumn="0" w:noHBand="0" w:noVBand="1"/>
      </w:tblPr>
      <w:tblGrid>
        <w:gridCol w:w="1679"/>
        <w:gridCol w:w="1678"/>
        <w:gridCol w:w="1678"/>
        <w:gridCol w:w="1676"/>
        <w:gridCol w:w="1676"/>
        <w:gridCol w:w="1678"/>
      </w:tblGrid>
      <w:tr w:rsidR="00584ECF" w:rsidRPr="00584ECF" w14:paraId="45D65522" w14:textId="77777777" w:rsidTr="008E4545">
        <w:trPr>
          <w:cnfStyle w:val="100000000000" w:firstRow="1" w:lastRow="0" w:firstColumn="0" w:lastColumn="0" w:oddVBand="0" w:evenVBand="0" w:oddHBand="0" w:evenHBand="0" w:firstRowFirstColumn="0" w:firstRowLastColumn="0" w:lastRowFirstColumn="0" w:lastRowLastColumn="0"/>
          <w:cantSplit/>
          <w:tblHeader/>
        </w:trPr>
        <w:tc>
          <w:tcPr>
            <w:tcW w:w="1598" w:type="dxa"/>
            <w:tcBorders>
              <w:right w:val="single" w:sz="4" w:space="0" w:color="FFFFFF" w:themeColor="background1"/>
            </w:tcBorders>
          </w:tcPr>
          <w:p w14:paraId="6BCBFB29" w14:textId="77777777" w:rsidR="00584ECF" w:rsidRPr="00584ECF" w:rsidRDefault="00584ECF" w:rsidP="00584ECF">
            <w:pPr>
              <w:pStyle w:val="BodyText"/>
            </w:pPr>
            <w:r w:rsidRPr="00584ECF">
              <w:t>Action</w:t>
            </w:r>
          </w:p>
        </w:tc>
        <w:tc>
          <w:tcPr>
            <w:tcW w:w="1596" w:type="dxa"/>
            <w:tcBorders>
              <w:left w:val="single" w:sz="4" w:space="0" w:color="FFFFFF" w:themeColor="background1"/>
              <w:right w:val="single" w:sz="4" w:space="0" w:color="FFFFFF" w:themeColor="background1"/>
            </w:tcBorders>
          </w:tcPr>
          <w:p w14:paraId="0B6F4F9B" w14:textId="77777777" w:rsidR="00584ECF" w:rsidRPr="00584ECF" w:rsidRDefault="00584ECF" w:rsidP="00584ECF">
            <w:pPr>
              <w:pStyle w:val="BodyText"/>
            </w:pPr>
            <w:r w:rsidRPr="00584ECF">
              <w:t>Beginning</w:t>
            </w:r>
          </w:p>
        </w:tc>
        <w:tc>
          <w:tcPr>
            <w:tcW w:w="1596" w:type="dxa"/>
            <w:tcBorders>
              <w:left w:val="single" w:sz="4" w:space="0" w:color="FFFFFF" w:themeColor="background1"/>
              <w:right w:val="single" w:sz="4" w:space="0" w:color="FFFFFF" w:themeColor="background1"/>
            </w:tcBorders>
          </w:tcPr>
          <w:p w14:paraId="484D9C97" w14:textId="77777777" w:rsidR="00584ECF" w:rsidRPr="00584ECF" w:rsidRDefault="00584ECF" w:rsidP="00584ECF">
            <w:pPr>
              <w:pStyle w:val="BodyText"/>
            </w:pPr>
            <w:r w:rsidRPr="00584ECF">
              <w:t>Emerging</w:t>
            </w:r>
          </w:p>
        </w:tc>
        <w:tc>
          <w:tcPr>
            <w:tcW w:w="1595" w:type="dxa"/>
            <w:tcBorders>
              <w:left w:val="single" w:sz="4" w:space="0" w:color="FFFFFF" w:themeColor="background1"/>
              <w:right w:val="single" w:sz="4" w:space="0" w:color="FFFFFF" w:themeColor="background1"/>
            </w:tcBorders>
          </w:tcPr>
          <w:p w14:paraId="647D17EF" w14:textId="77777777" w:rsidR="00584ECF" w:rsidRPr="00584ECF" w:rsidRDefault="00584ECF" w:rsidP="00584ECF">
            <w:pPr>
              <w:pStyle w:val="BodyText"/>
            </w:pPr>
            <w:r w:rsidRPr="00584ECF">
              <w:t>Applying</w:t>
            </w:r>
          </w:p>
        </w:tc>
        <w:tc>
          <w:tcPr>
            <w:tcW w:w="1595" w:type="dxa"/>
            <w:tcBorders>
              <w:left w:val="single" w:sz="4" w:space="0" w:color="FFFFFF" w:themeColor="background1"/>
              <w:right w:val="single" w:sz="4" w:space="0" w:color="FFFFFF" w:themeColor="background1"/>
            </w:tcBorders>
          </w:tcPr>
          <w:p w14:paraId="2E0C05D1" w14:textId="77777777" w:rsidR="00584ECF" w:rsidRPr="00584ECF" w:rsidRDefault="00584ECF" w:rsidP="00584ECF">
            <w:pPr>
              <w:pStyle w:val="BodyText"/>
            </w:pPr>
            <w:r w:rsidRPr="00584ECF">
              <w:t>Integrating</w:t>
            </w:r>
          </w:p>
        </w:tc>
        <w:tc>
          <w:tcPr>
            <w:tcW w:w="1596" w:type="dxa"/>
            <w:tcBorders>
              <w:left w:val="single" w:sz="4" w:space="0" w:color="FFFFFF" w:themeColor="background1"/>
            </w:tcBorders>
          </w:tcPr>
          <w:p w14:paraId="1E47DC2C" w14:textId="77777777" w:rsidR="00584ECF" w:rsidRPr="00584ECF" w:rsidRDefault="00584ECF" w:rsidP="00584ECF">
            <w:pPr>
              <w:pStyle w:val="BodyText"/>
            </w:pPr>
            <w:r w:rsidRPr="00584ECF">
              <w:t>Innovating</w:t>
            </w:r>
          </w:p>
        </w:tc>
      </w:tr>
      <w:tr w:rsidR="00584ECF" w:rsidRPr="00584ECF" w14:paraId="1F7E2F73" w14:textId="77777777" w:rsidTr="00584ECF">
        <w:trPr>
          <w:cantSplit/>
          <w:trHeight w:val="3158"/>
        </w:trPr>
        <w:tc>
          <w:tcPr>
            <w:tcW w:w="1598" w:type="dxa"/>
            <w:vAlign w:val="top"/>
          </w:tcPr>
          <w:p w14:paraId="4A8CC853" w14:textId="77777777" w:rsidR="00584ECF" w:rsidRPr="00584ECF" w:rsidRDefault="00584ECF" w:rsidP="00584ECF">
            <w:pPr>
              <w:pStyle w:val="BodyText"/>
              <w:rPr>
                <w:b/>
              </w:rPr>
            </w:pPr>
            <w:r w:rsidRPr="00584ECF">
              <w:rPr>
                <w:b/>
              </w:rPr>
              <w:t>Reflecting on practice and planning professional development</w:t>
            </w:r>
          </w:p>
        </w:tc>
        <w:tc>
          <w:tcPr>
            <w:tcW w:w="1596" w:type="dxa"/>
            <w:vAlign w:val="top"/>
          </w:tcPr>
          <w:p w14:paraId="15EE033A" w14:textId="77777777" w:rsidR="00584ECF" w:rsidRPr="00584ECF" w:rsidRDefault="00584ECF" w:rsidP="00584ECF">
            <w:pPr>
              <w:pStyle w:val="BodyText"/>
            </w:pPr>
            <w:r w:rsidRPr="00584ECF">
              <w:t>Reflects on elements of youth learning (e.g., activities, relationships, skills, and interests)</w:t>
            </w:r>
          </w:p>
        </w:tc>
        <w:tc>
          <w:tcPr>
            <w:tcW w:w="1596" w:type="dxa"/>
            <w:vAlign w:val="top"/>
          </w:tcPr>
          <w:p w14:paraId="66FE9133" w14:textId="77777777" w:rsidR="00584ECF" w:rsidRPr="00584ECF" w:rsidRDefault="00584ECF" w:rsidP="00584ECF">
            <w:pPr>
              <w:pStyle w:val="BodyText"/>
            </w:pPr>
            <w:r w:rsidRPr="00584ECF">
              <w:t xml:space="preserve">Reflects on successes and dilemmas </w:t>
            </w:r>
          </w:p>
          <w:p w14:paraId="4F153628" w14:textId="77777777" w:rsidR="00584ECF" w:rsidRPr="00584ECF" w:rsidRDefault="00584ECF" w:rsidP="00584ECF">
            <w:pPr>
              <w:pStyle w:val="BodyText"/>
            </w:pPr>
            <w:r w:rsidRPr="00584ECF">
              <w:t>Plans professional development to add to activities and youth engagement strategies</w:t>
            </w:r>
          </w:p>
        </w:tc>
        <w:tc>
          <w:tcPr>
            <w:tcW w:w="1595" w:type="dxa"/>
            <w:vAlign w:val="top"/>
          </w:tcPr>
          <w:p w14:paraId="7BCB7432" w14:textId="77777777" w:rsidR="00584ECF" w:rsidRPr="00584ECF" w:rsidRDefault="00584ECF" w:rsidP="00584ECF">
            <w:pPr>
              <w:pStyle w:val="BodyText"/>
            </w:pPr>
            <w:r w:rsidRPr="00584ECF">
              <w:t>Reflects on the relationship between program offerings and youth learning</w:t>
            </w:r>
          </w:p>
          <w:p w14:paraId="47358FEF" w14:textId="77777777" w:rsidR="00584ECF" w:rsidRPr="00584ECF" w:rsidRDefault="00584ECF" w:rsidP="00584ECF">
            <w:pPr>
              <w:pStyle w:val="BodyText"/>
            </w:pPr>
            <w:r w:rsidRPr="00584ECF">
              <w:t>Plans professional development based on reflections</w:t>
            </w:r>
          </w:p>
        </w:tc>
        <w:tc>
          <w:tcPr>
            <w:tcW w:w="1595" w:type="dxa"/>
            <w:vAlign w:val="top"/>
          </w:tcPr>
          <w:p w14:paraId="6CDFA1B5" w14:textId="77777777" w:rsidR="00584ECF" w:rsidRPr="00584ECF" w:rsidRDefault="00584ECF" w:rsidP="00584ECF">
            <w:pPr>
              <w:pStyle w:val="BodyText"/>
            </w:pPr>
            <w:r w:rsidRPr="00584ECF">
              <w:t xml:space="preserve">Analyzes and reflects on activities and learning based on evidence or data (grades, observations) gathered regularly </w:t>
            </w:r>
          </w:p>
        </w:tc>
        <w:tc>
          <w:tcPr>
            <w:tcW w:w="1596" w:type="dxa"/>
            <w:vAlign w:val="top"/>
          </w:tcPr>
          <w:p w14:paraId="5A4B8D72" w14:textId="77777777" w:rsidR="00584ECF" w:rsidRPr="00584ECF" w:rsidRDefault="00584ECF" w:rsidP="00584ECF">
            <w:pPr>
              <w:pStyle w:val="BodyText"/>
            </w:pPr>
            <w:r w:rsidRPr="00584ECF">
              <w:t>Integrates analysis and reflection into daily practice based on a wide variety of evidence and relationships with youth</w:t>
            </w:r>
          </w:p>
        </w:tc>
      </w:tr>
      <w:tr w:rsidR="00584ECF" w:rsidRPr="00584ECF" w14:paraId="388CA65C" w14:textId="77777777" w:rsidTr="00584ECF">
        <w:trPr>
          <w:cantSplit/>
        </w:trPr>
        <w:tc>
          <w:tcPr>
            <w:tcW w:w="1598" w:type="dxa"/>
            <w:vAlign w:val="top"/>
          </w:tcPr>
          <w:p w14:paraId="46EF0ADF" w14:textId="77777777" w:rsidR="00584ECF" w:rsidRPr="00584ECF" w:rsidRDefault="00584ECF" w:rsidP="00584ECF">
            <w:pPr>
              <w:pStyle w:val="BodyText"/>
              <w:rPr>
                <w:b/>
              </w:rPr>
            </w:pPr>
            <w:r w:rsidRPr="00584ECF">
              <w:rPr>
                <w:b/>
              </w:rPr>
              <w:t>Establishing professional goals and pursuing opportunities to grow professionally</w:t>
            </w:r>
          </w:p>
        </w:tc>
        <w:tc>
          <w:tcPr>
            <w:tcW w:w="1596" w:type="dxa"/>
            <w:vAlign w:val="top"/>
          </w:tcPr>
          <w:p w14:paraId="5B80DA69" w14:textId="77777777" w:rsidR="00584ECF" w:rsidRPr="00584ECF" w:rsidRDefault="00584ECF" w:rsidP="00584ECF">
            <w:pPr>
              <w:pStyle w:val="BodyText"/>
            </w:pPr>
            <w:r w:rsidRPr="00584ECF">
              <w:t xml:space="preserve">Develops goals through required processes </w:t>
            </w:r>
          </w:p>
          <w:p w14:paraId="7947E055" w14:textId="77777777" w:rsidR="00584ECF" w:rsidRPr="00584ECF" w:rsidRDefault="00584ECF" w:rsidP="00584ECF">
            <w:pPr>
              <w:pStyle w:val="BodyText"/>
            </w:pPr>
            <w:r w:rsidRPr="00584ECF">
              <w:t>Attends required meetings</w:t>
            </w:r>
          </w:p>
          <w:p w14:paraId="55761630" w14:textId="77777777" w:rsidR="00584ECF" w:rsidRPr="00584ECF" w:rsidRDefault="00584ECF" w:rsidP="00584ECF">
            <w:pPr>
              <w:pStyle w:val="BodyText"/>
            </w:pPr>
          </w:p>
        </w:tc>
        <w:tc>
          <w:tcPr>
            <w:tcW w:w="1596" w:type="dxa"/>
            <w:vAlign w:val="top"/>
          </w:tcPr>
          <w:p w14:paraId="2E3E0C46" w14:textId="77777777" w:rsidR="00584ECF" w:rsidRPr="00584ECF" w:rsidRDefault="00584ECF" w:rsidP="00584ECF">
            <w:pPr>
              <w:pStyle w:val="BodyText"/>
            </w:pPr>
            <w:r w:rsidRPr="00584ECF">
              <w:t xml:space="preserve">Sets goals considering self-assessment and other feedback </w:t>
            </w:r>
          </w:p>
          <w:p w14:paraId="1D69B54B" w14:textId="77777777" w:rsidR="00584ECF" w:rsidRPr="00584ECF" w:rsidRDefault="00584ECF" w:rsidP="00584ECF">
            <w:pPr>
              <w:pStyle w:val="BodyText"/>
            </w:pPr>
            <w:r w:rsidRPr="00584ECF">
              <w:t>Expands skills through professional development</w:t>
            </w:r>
          </w:p>
        </w:tc>
        <w:tc>
          <w:tcPr>
            <w:tcW w:w="1595" w:type="dxa"/>
            <w:vAlign w:val="top"/>
          </w:tcPr>
          <w:p w14:paraId="7B5CCC3E" w14:textId="77777777" w:rsidR="00584ECF" w:rsidRPr="00584ECF" w:rsidRDefault="00584ECF" w:rsidP="00584ECF">
            <w:pPr>
              <w:pStyle w:val="BodyText"/>
            </w:pPr>
            <w:r w:rsidRPr="00584ECF">
              <w:t>Sets short-term professional goals based on self-assessment of effectiveness, youth learning, and feedback</w:t>
            </w:r>
          </w:p>
        </w:tc>
        <w:tc>
          <w:tcPr>
            <w:tcW w:w="1595" w:type="dxa"/>
            <w:vAlign w:val="top"/>
          </w:tcPr>
          <w:p w14:paraId="32146A19" w14:textId="77777777" w:rsidR="00584ECF" w:rsidRPr="00584ECF" w:rsidRDefault="00584ECF" w:rsidP="00584ECF">
            <w:pPr>
              <w:pStyle w:val="BodyText"/>
            </w:pPr>
            <w:r w:rsidRPr="00584ECF">
              <w:t xml:space="preserve">Sets and modifies short-and long-term goals considering self-assessment and feedback </w:t>
            </w:r>
          </w:p>
        </w:tc>
        <w:tc>
          <w:tcPr>
            <w:tcW w:w="1596" w:type="dxa"/>
            <w:vAlign w:val="top"/>
          </w:tcPr>
          <w:p w14:paraId="5437196C" w14:textId="77777777" w:rsidR="00584ECF" w:rsidRPr="00584ECF" w:rsidRDefault="00584ECF" w:rsidP="00584ECF">
            <w:pPr>
              <w:pStyle w:val="BodyText"/>
            </w:pPr>
            <w:r w:rsidRPr="00584ECF">
              <w:t xml:space="preserve">Contributes to professional organizations, literature, and development </w:t>
            </w:r>
          </w:p>
          <w:p w14:paraId="60D723FE" w14:textId="77777777" w:rsidR="00584ECF" w:rsidRPr="00584ECF" w:rsidRDefault="00584ECF" w:rsidP="00584ECF">
            <w:pPr>
              <w:pStyle w:val="BodyText"/>
            </w:pPr>
            <w:r w:rsidRPr="00584ECF">
              <w:t>Leads professional development</w:t>
            </w:r>
          </w:p>
        </w:tc>
      </w:tr>
      <w:tr w:rsidR="00584ECF" w:rsidRPr="00584ECF" w14:paraId="60908998" w14:textId="77777777" w:rsidTr="00584ECF">
        <w:trPr>
          <w:cantSplit/>
        </w:trPr>
        <w:tc>
          <w:tcPr>
            <w:tcW w:w="1598" w:type="dxa"/>
            <w:vAlign w:val="top"/>
          </w:tcPr>
          <w:p w14:paraId="06D6DE28" w14:textId="77777777" w:rsidR="00584ECF" w:rsidRPr="00584ECF" w:rsidRDefault="00584ECF" w:rsidP="00584ECF">
            <w:pPr>
              <w:pStyle w:val="BodyText"/>
              <w:rPr>
                <w:b/>
              </w:rPr>
            </w:pPr>
            <w:r w:rsidRPr="00584ECF">
              <w:rPr>
                <w:b/>
              </w:rPr>
              <w:lastRenderedPageBreak/>
              <w:t>Working with communities to improve your practice</w:t>
            </w:r>
          </w:p>
        </w:tc>
        <w:tc>
          <w:tcPr>
            <w:tcW w:w="1596" w:type="dxa"/>
            <w:vAlign w:val="top"/>
          </w:tcPr>
          <w:p w14:paraId="7C1569FD" w14:textId="77777777" w:rsidR="00584ECF" w:rsidRPr="00584ECF" w:rsidRDefault="00584ECF" w:rsidP="00584ECF">
            <w:pPr>
              <w:pStyle w:val="BodyText"/>
            </w:pPr>
            <w:r w:rsidRPr="00584ECF">
              <w:t xml:space="preserve">Learns about the young people’s communities </w:t>
            </w:r>
          </w:p>
          <w:p w14:paraId="5C8FF75C" w14:textId="77777777" w:rsidR="00584ECF" w:rsidRPr="00584ECF" w:rsidRDefault="00584ECF" w:rsidP="00584ECF">
            <w:pPr>
              <w:pStyle w:val="BodyText"/>
            </w:pPr>
            <w:r w:rsidRPr="00584ECF">
              <w:t>May take youth into community as part of activities or projects</w:t>
            </w:r>
          </w:p>
        </w:tc>
        <w:tc>
          <w:tcPr>
            <w:tcW w:w="1596" w:type="dxa"/>
            <w:vAlign w:val="top"/>
          </w:tcPr>
          <w:p w14:paraId="1A11665B" w14:textId="77777777" w:rsidR="00584ECF" w:rsidRPr="00584ECF" w:rsidRDefault="00584ECF" w:rsidP="00584ECF">
            <w:pPr>
              <w:pStyle w:val="BodyText"/>
            </w:pPr>
            <w:r w:rsidRPr="00584ECF">
              <w:t xml:space="preserve">Increases understanding of the roles of the community in young people’s lives </w:t>
            </w:r>
          </w:p>
          <w:p w14:paraId="2890740C" w14:textId="77777777" w:rsidR="00584ECF" w:rsidRPr="00584ECF" w:rsidRDefault="00584ECF" w:rsidP="00584ECF">
            <w:pPr>
              <w:pStyle w:val="BodyText"/>
            </w:pPr>
            <w:r w:rsidRPr="00584ECF">
              <w:t>Attends community events</w:t>
            </w:r>
          </w:p>
        </w:tc>
        <w:tc>
          <w:tcPr>
            <w:tcW w:w="1595" w:type="dxa"/>
            <w:vAlign w:val="top"/>
          </w:tcPr>
          <w:p w14:paraId="48C0B2AC" w14:textId="77777777" w:rsidR="00584ECF" w:rsidRPr="00584ECF" w:rsidRDefault="00584ECF" w:rsidP="00584ECF">
            <w:pPr>
              <w:pStyle w:val="BodyText"/>
            </w:pPr>
            <w:r w:rsidRPr="00584ECF">
              <w:t xml:space="preserve">Identifies needs and resources </w:t>
            </w:r>
          </w:p>
          <w:p w14:paraId="239340CF" w14:textId="77777777" w:rsidR="00584ECF" w:rsidRPr="00584ECF" w:rsidRDefault="00584ECF" w:rsidP="00584ECF">
            <w:pPr>
              <w:pStyle w:val="BodyText"/>
            </w:pPr>
            <w:r w:rsidRPr="00584ECF">
              <w:t>Expands knowledge of connections to community</w:t>
            </w:r>
          </w:p>
        </w:tc>
        <w:tc>
          <w:tcPr>
            <w:tcW w:w="1595" w:type="dxa"/>
            <w:vAlign w:val="top"/>
          </w:tcPr>
          <w:p w14:paraId="632A143F" w14:textId="77777777" w:rsidR="00584ECF" w:rsidRPr="00584ECF" w:rsidRDefault="00584ECF" w:rsidP="00584ECF">
            <w:pPr>
              <w:pStyle w:val="BodyText"/>
            </w:pPr>
            <w:r w:rsidRPr="00584ECF">
              <w:t>Uses knowledge of the community to strengthen connections with the local community, culture, services, and resources to aid the program</w:t>
            </w:r>
          </w:p>
        </w:tc>
        <w:tc>
          <w:tcPr>
            <w:tcW w:w="1596" w:type="dxa"/>
            <w:vAlign w:val="top"/>
          </w:tcPr>
          <w:p w14:paraId="6057A6ED" w14:textId="77777777" w:rsidR="00584ECF" w:rsidRPr="00584ECF" w:rsidRDefault="00584ECF" w:rsidP="00584ECF">
            <w:pPr>
              <w:pStyle w:val="BodyText"/>
            </w:pPr>
            <w:r w:rsidRPr="00584ECF">
              <w:t>Promotes program and community collaboration with advisory group</w:t>
            </w:r>
          </w:p>
          <w:p w14:paraId="1DABBD79" w14:textId="77777777" w:rsidR="00584ECF" w:rsidRPr="00584ECF" w:rsidRDefault="00584ECF" w:rsidP="00584ECF">
            <w:pPr>
              <w:pStyle w:val="BodyText"/>
            </w:pPr>
            <w:r w:rsidRPr="00584ECF">
              <w:t>Provides youth with a wide range of community activities and service projects</w:t>
            </w:r>
          </w:p>
        </w:tc>
      </w:tr>
      <w:tr w:rsidR="00584ECF" w:rsidRPr="00584ECF" w14:paraId="2740B01C" w14:textId="77777777" w:rsidTr="00584ECF">
        <w:trPr>
          <w:cantSplit/>
        </w:trPr>
        <w:tc>
          <w:tcPr>
            <w:tcW w:w="1598" w:type="dxa"/>
            <w:vAlign w:val="top"/>
          </w:tcPr>
          <w:p w14:paraId="23FB86BB" w14:textId="77777777" w:rsidR="00584ECF" w:rsidRPr="00584ECF" w:rsidRDefault="00584ECF" w:rsidP="00584ECF">
            <w:pPr>
              <w:pStyle w:val="BodyText"/>
              <w:rPr>
                <w:b/>
              </w:rPr>
            </w:pPr>
            <w:r w:rsidRPr="00584ECF">
              <w:rPr>
                <w:b/>
              </w:rPr>
              <w:t>Balancing professional responsibilities and maintaining motivation</w:t>
            </w:r>
          </w:p>
        </w:tc>
        <w:tc>
          <w:tcPr>
            <w:tcW w:w="1596" w:type="dxa"/>
            <w:vAlign w:val="top"/>
          </w:tcPr>
          <w:p w14:paraId="036C66BD" w14:textId="77777777" w:rsidR="00584ECF" w:rsidRPr="00584ECF" w:rsidRDefault="00584ECF" w:rsidP="00584ECF">
            <w:pPr>
              <w:pStyle w:val="BodyText"/>
            </w:pPr>
            <w:r w:rsidRPr="00584ECF">
              <w:t xml:space="preserve">Has a positive attitude with youth </w:t>
            </w:r>
          </w:p>
          <w:p w14:paraId="70AE19FA" w14:textId="77777777" w:rsidR="00584ECF" w:rsidRPr="00584ECF" w:rsidRDefault="00584ECF" w:rsidP="00584ECF">
            <w:pPr>
              <w:pStyle w:val="BodyText"/>
            </w:pPr>
            <w:r w:rsidRPr="00584ECF">
              <w:t>Has a basic understanding of professional responsibilities</w:t>
            </w:r>
          </w:p>
        </w:tc>
        <w:tc>
          <w:tcPr>
            <w:tcW w:w="1596" w:type="dxa"/>
            <w:vAlign w:val="top"/>
          </w:tcPr>
          <w:p w14:paraId="62278A4C" w14:textId="77777777" w:rsidR="00584ECF" w:rsidRPr="00584ECF" w:rsidRDefault="00584ECF" w:rsidP="00584ECF">
            <w:pPr>
              <w:pStyle w:val="BodyText"/>
            </w:pPr>
            <w:r w:rsidRPr="00584ECF">
              <w:t>Maintains a positive attitude, demonstrates understanding of professional responsibilities, and seeks support to balance responsibilities</w:t>
            </w:r>
          </w:p>
        </w:tc>
        <w:tc>
          <w:tcPr>
            <w:tcW w:w="1595" w:type="dxa"/>
            <w:vAlign w:val="top"/>
          </w:tcPr>
          <w:p w14:paraId="21F176D4" w14:textId="77777777" w:rsidR="00584ECF" w:rsidRPr="00584ECF" w:rsidRDefault="00584ECF" w:rsidP="00584ECF">
            <w:pPr>
              <w:pStyle w:val="BodyText"/>
            </w:pPr>
            <w:r w:rsidRPr="00584ECF">
              <w:t>Maintains a positive attitude through the year, demonstrates professional integrity, and balances responsibility with personal needs</w:t>
            </w:r>
          </w:p>
        </w:tc>
        <w:tc>
          <w:tcPr>
            <w:tcW w:w="1595" w:type="dxa"/>
            <w:vAlign w:val="top"/>
          </w:tcPr>
          <w:p w14:paraId="47686819" w14:textId="77777777" w:rsidR="00584ECF" w:rsidRPr="00584ECF" w:rsidRDefault="00584ECF" w:rsidP="00584ECF">
            <w:pPr>
              <w:pStyle w:val="BodyText"/>
            </w:pPr>
            <w:r w:rsidRPr="00584ECF">
              <w:t>Maintains motivation and a commitment to all youth; demonstrates professional integrity</w:t>
            </w:r>
          </w:p>
        </w:tc>
        <w:tc>
          <w:tcPr>
            <w:tcW w:w="1596" w:type="dxa"/>
            <w:vAlign w:val="top"/>
          </w:tcPr>
          <w:p w14:paraId="0B6E730F" w14:textId="77777777" w:rsidR="00584ECF" w:rsidRPr="00584ECF" w:rsidRDefault="00584ECF" w:rsidP="00584ECF">
            <w:pPr>
              <w:pStyle w:val="BodyText"/>
            </w:pPr>
            <w:r w:rsidRPr="00584ECF">
              <w:t>Maintains motivation and models commitment to all youth, school, staff, and community</w:t>
            </w:r>
          </w:p>
        </w:tc>
      </w:tr>
    </w:tbl>
    <w:p w14:paraId="77B0FBB5" w14:textId="77777777" w:rsidR="001C5BC8" w:rsidRPr="00584ECF" w:rsidRDefault="001C5BC8" w:rsidP="00584ECF">
      <w:pPr>
        <w:pStyle w:val="BodyText"/>
      </w:pPr>
    </w:p>
    <w:p w14:paraId="5BB55147" w14:textId="77777777" w:rsidR="001C5BC8" w:rsidRPr="00584ECF" w:rsidRDefault="001C5BC8" w:rsidP="00584ECF">
      <w:pPr>
        <w:pStyle w:val="BodyText"/>
      </w:pPr>
    </w:p>
    <w:p w14:paraId="55FBFAD1" w14:textId="512B0AF6" w:rsidR="00616898" w:rsidRDefault="00616898">
      <w:pPr>
        <w:spacing w:after="200"/>
      </w:pPr>
    </w:p>
    <w:sectPr w:rsidR="00616898" w:rsidSect="00751B4B">
      <w:footerReference w:type="default" r:id="rId11"/>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4ACB5" w14:textId="77777777" w:rsidR="00386CB4" w:rsidRDefault="00386CB4" w:rsidP="0078684C">
      <w:r>
        <w:separator/>
      </w:r>
    </w:p>
  </w:endnote>
  <w:endnote w:type="continuationSeparator" w:id="0">
    <w:p w14:paraId="18D62A72" w14:textId="77777777" w:rsidR="00386CB4" w:rsidRDefault="00386CB4"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4C5B44" w:rsidRPr="004E56D4" w:rsidRDefault="004C5B44"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123D00">
        <w:rPr>
          <w:noProof/>
        </w:rPr>
        <w:t>25</w:t>
      </w:r>
    </w:fldSimple>
    <w:r w:rsidRPr="00C66F5C">
      <w:t xml:space="preserve"> </w:t>
    </w:r>
    <w:r>
      <w:t xml:space="preserve">  |   Page </w:t>
    </w:r>
    <w:r>
      <w:fldChar w:fldCharType="begin"/>
    </w:r>
    <w:r>
      <w:instrText xml:space="preserve"> PAGE  \* MERGEFORMAT </w:instrText>
    </w:r>
    <w:r>
      <w:fldChar w:fldCharType="separate"/>
    </w:r>
    <w:r w:rsidR="00123D00">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37EED" w14:textId="77777777" w:rsidR="00386CB4" w:rsidRDefault="00386CB4" w:rsidP="0078684C">
      <w:r>
        <w:separator/>
      </w:r>
    </w:p>
  </w:footnote>
  <w:footnote w:type="continuationSeparator" w:id="0">
    <w:p w14:paraId="17395326" w14:textId="77777777" w:rsidR="00386CB4" w:rsidRDefault="00386CB4"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401D"/>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5DF2"/>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3D00"/>
    <w:rsid w:val="0012405B"/>
    <w:rsid w:val="00126D3E"/>
    <w:rsid w:val="00127097"/>
    <w:rsid w:val="0013209A"/>
    <w:rsid w:val="001323CD"/>
    <w:rsid w:val="001335B3"/>
    <w:rsid w:val="00134499"/>
    <w:rsid w:val="0013577C"/>
    <w:rsid w:val="00135E92"/>
    <w:rsid w:val="00137672"/>
    <w:rsid w:val="00140F42"/>
    <w:rsid w:val="001446B9"/>
    <w:rsid w:val="001448A0"/>
    <w:rsid w:val="00145CA6"/>
    <w:rsid w:val="00147CB5"/>
    <w:rsid w:val="00150871"/>
    <w:rsid w:val="0015175B"/>
    <w:rsid w:val="00152AB5"/>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47B"/>
    <w:rsid w:val="001E6936"/>
    <w:rsid w:val="001E6BA2"/>
    <w:rsid w:val="001E6FAB"/>
    <w:rsid w:val="001E7777"/>
    <w:rsid w:val="001F298D"/>
    <w:rsid w:val="001F47D0"/>
    <w:rsid w:val="001F65AD"/>
    <w:rsid w:val="0020003D"/>
    <w:rsid w:val="00200C14"/>
    <w:rsid w:val="00200CE1"/>
    <w:rsid w:val="00202E60"/>
    <w:rsid w:val="00204BB4"/>
    <w:rsid w:val="00206CCC"/>
    <w:rsid w:val="002109D8"/>
    <w:rsid w:val="00214D15"/>
    <w:rsid w:val="00220747"/>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A3B"/>
    <w:rsid w:val="002A0DD1"/>
    <w:rsid w:val="002A16D6"/>
    <w:rsid w:val="002A39F1"/>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678ED"/>
    <w:rsid w:val="00370BCC"/>
    <w:rsid w:val="00374A3C"/>
    <w:rsid w:val="00377870"/>
    <w:rsid w:val="00380A36"/>
    <w:rsid w:val="003839CC"/>
    <w:rsid w:val="00384235"/>
    <w:rsid w:val="00384921"/>
    <w:rsid w:val="003851FB"/>
    <w:rsid w:val="0038559F"/>
    <w:rsid w:val="00386519"/>
    <w:rsid w:val="00386CB4"/>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401C"/>
    <w:rsid w:val="00447D10"/>
    <w:rsid w:val="00451AF2"/>
    <w:rsid w:val="004524C8"/>
    <w:rsid w:val="0045306E"/>
    <w:rsid w:val="004564A2"/>
    <w:rsid w:val="004571B4"/>
    <w:rsid w:val="00457382"/>
    <w:rsid w:val="00457650"/>
    <w:rsid w:val="004576C9"/>
    <w:rsid w:val="00462515"/>
    <w:rsid w:val="00463240"/>
    <w:rsid w:val="00464A08"/>
    <w:rsid w:val="00465CBF"/>
    <w:rsid w:val="00466979"/>
    <w:rsid w:val="00467C8A"/>
    <w:rsid w:val="0047171C"/>
    <w:rsid w:val="0047218C"/>
    <w:rsid w:val="00475310"/>
    <w:rsid w:val="00476CF2"/>
    <w:rsid w:val="00480A67"/>
    <w:rsid w:val="004826D3"/>
    <w:rsid w:val="00491157"/>
    <w:rsid w:val="00491EAB"/>
    <w:rsid w:val="0049689E"/>
    <w:rsid w:val="004972A0"/>
    <w:rsid w:val="004977CD"/>
    <w:rsid w:val="004A012A"/>
    <w:rsid w:val="004A0BE1"/>
    <w:rsid w:val="004A214A"/>
    <w:rsid w:val="004A2B4B"/>
    <w:rsid w:val="004A3324"/>
    <w:rsid w:val="004A59D1"/>
    <w:rsid w:val="004A6F60"/>
    <w:rsid w:val="004B124B"/>
    <w:rsid w:val="004B12C4"/>
    <w:rsid w:val="004B1FAD"/>
    <w:rsid w:val="004B2D51"/>
    <w:rsid w:val="004B350F"/>
    <w:rsid w:val="004B5960"/>
    <w:rsid w:val="004B5CC2"/>
    <w:rsid w:val="004B70DF"/>
    <w:rsid w:val="004C282F"/>
    <w:rsid w:val="004C3751"/>
    <w:rsid w:val="004C4AD4"/>
    <w:rsid w:val="004C5B4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1B8"/>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A3A"/>
    <w:rsid w:val="00745EB2"/>
    <w:rsid w:val="00746BFE"/>
    <w:rsid w:val="00746F14"/>
    <w:rsid w:val="007507D4"/>
    <w:rsid w:val="00750DFC"/>
    <w:rsid w:val="00751372"/>
    <w:rsid w:val="00751B4B"/>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C7E40"/>
    <w:rsid w:val="007D355C"/>
    <w:rsid w:val="007D3854"/>
    <w:rsid w:val="007D3D43"/>
    <w:rsid w:val="007D601E"/>
    <w:rsid w:val="007D66D3"/>
    <w:rsid w:val="007D730B"/>
    <w:rsid w:val="007E0840"/>
    <w:rsid w:val="007E1A13"/>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3B6A"/>
    <w:rsid w:val="00874513"/>
    <w:rsid w:val="00874DC6"/>
    <w:rsid w:val="008755CD"/>
    <w:rsid w:val="00875F56"/>
    <w:rsid w:val="00876745"/>
    <w:rsid w:val="00876BF1"/>
    <w:rsid w:val="00876DB9"/>
    <w:rsid w:val="00877DB6"/>
    <w:rsid w:val="0088162C"/>
    <w:rsid w:val="00881B5A"/>
    <w:rsid w:val="00882673"/>
    <w:rsid w:val="00884391"/>
    <w:rsid w:val="00886FDE"/>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0ED5"/>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2CB"/>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B772E"/>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24A4"/>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64C"/>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442D"/>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2CCB"/>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07751"/>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0DC225D9-D176-4C72-828A-1D50A0977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2</TotalTime>
  <Pages>2</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jziebarth</cp:lastModifiedBy>
  <cp:revision>4</cp:revision>
  <cp:lastPrinted>2014-03-24T17:05:00Z</cp:lastPrinted>
  <dcterms:created xsi:type="dcterms:W3CDTF">2014-03-25T15:16:00Z</dcterms:created>
  <dcterms:modified xsi:type="dcterms:W3CDTF">2014-04-04T18:16:00Z</dcterms:modified>
</cp:coreProperties>
</file>