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1FE97" w14:textId="77777777" w:rsidR="00EA362E" w:rsidRPr="00AE7C7C" w:rsidRDefault="00EA362E" w:rsidP="00EA362E">
      <w:pPr>
        <w:spacing w:line="240" w:lineRule="auto"/>
        <w:rPr>
          <w:sz w:val="14"/>
          <w:szCs w:val="14"/>
        </w:rPr>
      </w:pPr>
    </w:p>
    <w:p w14:paraId="1920B874" w14:textId="77777777" w:rsidR="00EA362E" w:rsidRPr="0078684C" w:rsidRDefault="00EA362E" w:rsidP="00EA362E">
      <w:pPr>
        <w:pStyle w:val="ToolNumber"/>
        <w:spacing w:line="240" w:lineRule="auto"/>
      </w:pPr>
      <w:r w:rsidRPr="0000267B">
        <w:drawing>
          <wp:anchor distT="0" distB="0" distL="114300" distR="114300" simplePos="0" relativeHeight="252072960" behindDoc="1" locked="0" layoutInCell="1" allowOverlap="1" wp14:anchorId="3893D860" wp14:editId="1AE0A355">
            <wp:simplePos x="0" y="0"/>
            <wp:positionH relativeFrom="page">
              <wp:posOffset>-38100</wp:posOffset>
            </wp:positionH>
            <wp:positionV relativeFrom="page">
              <wp:posOffset>41275</wp:posOffset>
            </wp:positionV>
            <wp:extent cx="7772400" cy="987425"/>
            <wp:effectExtent l="0" t="0" r="0" b="3175"/>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26</w:t>
      </w:r>
    </w:p>
    <w:p w14:paraId="17510C91" w14:textId="46787645" w:rsidR="00616898" w:rsidRPr="00D37D69" w:rsidRDefault="006F66C6" w:rsidP="00616898">
      <w:pPr>
        <w:pStyle w:val="Heading1"/>
      </w:pPr>
      <w:r w:rsidRPr="0058518B">
        <w:rPr>
          <w:i/>
          <w:noProof/>
        </w:rPr>
        <w:drawing>
          <wp:anchor distT="0" distB="0" distL="114300" distR="114300" simplePos="0" relativeHeight="251745280" behindDoc="0" locked="0" layoutInCell="1" allowOverlap="1" wp14:anchorId="36E6C028" wp14:editId="1A4D98CA">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17FD" w:rsidRPr="00F417FD">
        <w:rPr>
          <w:iCs/>
        </w:rPr>
        <w:t>Self-Assessment of Effective</w:t>
      </w:r>
      <w:r w:rsidR="00F417FD">
        <w:rPr>
          <w:iCs/>
        </w:rPr>
        <w:t xml:space="preserve"> Qualities</w:t>
      </w:r>
    </w:p>
    <w:p w14:paraId="1B5BC2A9" w14:textId="36A3D6E9" w:rsidR="00F417FD" w:rsidRPr="00A40B68" w:rsidRDefault="00F417FD" w:rsidP="00F417FD">
      <w:pPr>
        <w:pStyle w:val="Body-AllItalic"/>
        <w:rPr>
          <w:i w:val="0"/>
        </w:rPr>
      </w:pPr>
      <w:r w:rsidRPr="0058518B">
        <w:rPr>
          <w:i w:val="0"/>
        </w:rPr>
        <w:t>In Chapter 1, you learned about the importance of reflective practice for program staff. Providing staff members an opportunity to identify their strengths and opportunities for improvement—rather than telling them how to improve—is an effective way to promote professional development and improve program quality. Establishing an open and reflective culture will encourage staff growth and retention</w:t>
      </w:r>
      <w:r w:rsidRPr="00A40B68">
        <w:rPr>
          <w:i w:val="0"/>
        </w:rPr>
        <w:t xml:space="preserve">. </w:t>
      </w:r>
    </w:p>
    <w:p w14:paraId="2A4798C6" w14:textId="77777777" w:rsidR="00F417FD" w:rsidRPr="00A40B68" w:rsidRDefault="00F417FD" w:rsidP="00662F87">
      <w:pPr>
        <w:pStyle w:val="BodyText"/>
        <w:rPr>
          <w:i/>
        </w:rPr>
      </w:pPr>
      <w:r w:rsidRPr="00A40B68">
        <w:rPr>
          <w:b/>
          <w:i/>
        </w:rPr>
        <w:t xml:space="preserve">Directions: </w:t>
      </w:r>
      <w:r w:rsidRPr="00A40B68">
        <w:rPr>
          <w:i/>
        </w:rPr>
        <w:t>Before completing this tool, revisit the previous tool on developing as an afterschool and expanded learning professional (</w:t>
      </w:r>
      <w:r w:rsidRPr="00A40B68">
        <w:rPr>
          <w:b/>
          <w:i/>
        </w:rPr>
        <w:t>Tool 25</w:t>
      </w:r>
      <w:r w:rsidRPr="00A40B68">
        <w:rPr>
          <w:i/>
        </w:rPr>
        <w:t>). Review how you rated yourself. Now, in the center column, read the list of qualities relating to staff effectiveness. Think about your strengths for each quality and list them in the column on the left. Now reflect on the areas of growth for each quality and list them in the column on the right.</w:t>
      </w:r>
    </w:p>
    <w:p w14:paraId="17BCB36E" w14:textId="77777777" w:rsidR="00662F87" w:rsidRPr="00662F87" w:rsidRDefault="00662F87" w:rsidP="00662F87">
      <w:pPr>
        <w:pStyle w:val="BodyText"/>
      </w:pPr>
    </w:p>
    <w:tbl>
      <w:tblPr>
        <w:tblStyle w:val="Table-FillIn"/>
        <w:tblW w:w="5000" w:type="pct"/>
        <w:tblLook w:val="04A0" w:firstRow="1" w:lastRow="0" w:firstColumn="1" w:lastColumn="0" w:noHBand="0" w:noVBand="1"/>
      </w:tblPr>
      <w:tblGrid>
        <w:gridCol w:w="3141"/>
        <w:gridCol w:w="3569"/>
        <w:gridCol w:w="3355"/>
      </w:tblGrid>
      <w:tr w:rsidR="00662F87" w:rsidRPr="00662F87" w14:paraId="7231669B" w14:textId="77777777" w:rsidTr="00A40B68">
        <w:trPr>
          <w:cnfStyle w:val="100000000000" w:firstRow="1" w:lastRow="0" w:firstColumn="0" w:lastColumn="0" w:oddVBand="0" w:evenVBand="0" w:oddHBand="0" w:evenHBand="0" w:firstRowFirstColumn="0" w:firstRowLastColumn="0" w:lastRowFirstColumn="0" w:lastRowLastColumn="0"/>
          <w:trHeight w:val="494"/>
          <w:tblHeader/>
        </w:trPr>
        <w:tc>
          <w:tcPr>
            <w:tcW w:w="3141" w:type="dxa"/>
            <w:tcBorders>
              <w:right w:val="single" w:sz="4" w:space="0" w:color="FFFFFF" w:themeColor="background1"/>
            </w:tcBorders>
          </w:tcPr>
          <w:p w14:paraId="3D3C5216" w14:textId="1317F307" w:rsidR="00662F87" w:rsidRPr="00662F87" w:rsidRDefault="00662F87" w:rsidP="004D305D">
            <w:pPr>
              <w:pStyle w:val="TableHeader"/>
            </w:pPr>
            <w:r w:rsidRPr="00662F87">
              <w:t>My Strengths</w:t>
            </w:r>
          </w:p>
        </w:tc>
        <w:tc>
          <w:tcPr>
            <w:tcW w:w="3569" w:type="dxa"/>
            <w:tcBorders>
              <w:left w:val="single" w:sz="4" w:space="0" w:color="FFFFFF" w:themeColor="background1"/>
              <w:bottom w:val="single" w:sz="4" w:space="0" w:color="auto"/>
              <w:right w:val="single" w:sz="4" w:space="0" w:color="FFFFFF" w:themeColor="background1"/>
            </w:tcBorders>
          </w:tcPr>
          <w:p w14:paraId="4E25E8A3" w14:textId="77777777" w:rsidR="00662F87" w:rsidRPr="00662F87" w:rsidRDefault="00662F87" w:rsidP="004D305D">
            <w:pPr>
              <w:pStyle w:val="TableHeader"/>
            </w:pPr>
            <w:r w:rsidRPr="00662F87">
              <w:t>Qualities of Effectiveness</w:t>
            </w:r>
          </w:p>
        </w:tc>
        <w:tc>
          <w:tcPr>
            <w:tcW w:w="3355" w:type="dxa"/>
            <w:tcBorders>
              <w:left w:val="single" w:sz="4" w:space="0" w:color="FFFFFF" w:themeColor="background1"/>
            </w:tcBorders>
          </w:tcPr>
          <w:p w14:paraId="1F5A9C78" w14:textId="77777777" w:rsidR="00662F87" w:rsidRPr="00662F87" w:rsidRDefault="00662F87" w:rsidP="004D305D">
            <w:pPr>
              <w:pStyle w:val="TableHeader"/>
            </w:pPr>
            <w:r w:rsidRPr="00662F87">
              <w:t>My Areas for Growth</w:t>
            </w:r>
          </w:p>
        </w:tc>
      </w:tr>
      <w:tr w:rsidR="00662F87" w:rsidRPr="00662F87" w14:paraId="0C26116A" w14:textId="77777777" w:rsidTr="00A40B68">
        <w:trPr>
          <w:trHeight w:val="2789"/>
        </w:trPr>
        <w:tc>
          <w:tcPr>
            <w:tcW w:w="3141" w:type="dxa"/>
          </w:tcPr>
          <w:p w14:paraId="6C3A3F4B" w14:textId="77777777" w:rsidR="00662F87" w:rsidRPr="00662F87" w:rsidRDefault="00662F87" w:rsidP="00662F87">
            <w:pPr>
              <w:pStyle w:val="BodyText"/>
            </w:pPr>
          </w:p>
        </w:tc>
        <w:tc>
          <w:tcPr>
            <w:tcW w:w="3569" w:type="dxa"/>
            <w:shd w:val="clear" w:color="auto" w:fill="E6E6E6"/>
          </w:tcPr>
          <w:p w14:paraId="119B0B2C" w14:textId="77777777" w:rsidR="00662F87" w:rsidRPr="00D97F62" w:rsidRDefault="00662F87" w:rsidP="00EA362E">
            <w:pPr>
              <w:pStyle w:val="BodyText"/>
              <w:spacing w:before="100"/>
              <w:rPr>
                <w:b/>
                <w:spacing w:val="-6"/>
              </w:rPr>
            </w:pPr>
            <w:r w:rsidRPr="00D97F62">
              <w:rPr>
                <w:b/>
                <w:spacing w:val="-6"/>
              </w:rPr>
              <w:t>Engages and supports all youth</w:t>
            </w:r>
          </w:p>
          <w:p w14:paraId="04085242" w14:textId="77777777" w:rsidR="00662F87" w:rsidRPr="008E4545" w:rsidRDefault="00662F87" w:rsidP="00715F6B">
            <w:pPr>
              <w:pStyle w:val="Table-Bullet1"/>
            </w:pPr>
            <w:r w:rsidRPr="008E4545">
              <w:t>Always treats all young people equally</w:t>
            </w:r>
          </w:p>
          <w:p w14:paraId="4E485517" w14:textId="77777777" w:rsidR="00662F87" w:rsidRPr="008E4545" w:rsidRDefault="00662F87" w:rsidP="00715F6B">
            <w:pPr>
              <w:pStyle w:val="Table-Bullet1"/>
            </w:pPr>
            <w:r w:rsidRPr="008E4545">
              <w:t xml:space="preserve">Knows the typical benchmarks for growth and development </w:t>
            </w:r>
          </w:p>
          <w:p w14:paraId="47F52627" w14:textId="77777777" w:rsidR="00662F87" w:rsidRPr="008E4545" w:rsidRDefault="00662F87" w:rsidP="00715F6B">
            <w:pPr>
              <w:pStyle w:val="Table-Bullet1"/>
            </w:pPr>
            <w:r w:rsidRPr="008E4545">
              <w:t xml:space="preserve">Uses knowledge to provide a program that identifies, celebrates, and builds on youth strengths </w:t>
            </w:r>
          </w:p>
        </w:tc>
        <w:tc>
          <w:tcPr>
            <w:tcW w:w="3355" w:type="dxa"/>
          </w:tcPr>
          <w:p w14:paraId="22C574FF" w14:textId="77777777" w:rsidR="00662F87" w:rsidRPr="00662F87" w:rsidRDefault="00662F87" w:rsidP="00662F87">
            <w:pPr>
              <w:pStyle w:val="BodyText"/>
            </w:pPr>
          </w:p>
        </w:tc>
      </w:tr>
      <w:tr w:rsidR="00662F87" w:rsidRPr="00662F87" w14:paraId="0E050606" w14:textId="77777777" w:rsidTr="00A40B68">
        <w:trPr>
          <w:trHeight w:val="836"/>
        </w:trPr>
        <w:tc>
          <w:tcPr>
            <w:tcW w:w="3141" w:type="dxa"/>
          </w:tcPr>
          <w:p w14:paraId="2B76BA85" w14:textId="77777777" w:rsidR="00662F87" w:rsidRPr="00662F87" w:rsidRDefault="00662F87" w:rsidP="00662F87">
            <w:pPr>
              <w:pStyle w:val="BodyText"/>
            </w:pPr>
          </w:p>
        </w:tc>
        <w:tc>
          <w:tcPr>
            <w:tcW w:w="3569" w:type="dxa"/>
            <w:shd w:val="clear" w:color="auto" w:fill="E6E6E6"/>
          </w:tcPr>
          <w:p w14:paraId="04DE3DD6" w14:textId="77777777" w:rsidR="00662F87" w:rsidRPr="00D97F62" w:rsidRDefault="00662F87" w:rsidP="00715F6B">
            <w:pPr>
              <w:pStyle w:val="Table-Bullet1"/>
            </w:pPr>
            <w:r w:rsidRPr="00D97F62">
              <w:t>Employs youth development principles</w:t>
            </w:r>
          </w:p>
          <w:p w14:paraId="5CF6F316" w14:textId="77777777" w:rsidR="00662F87" w:rsidRPr="008E4545" w:rsidRDefault="00662F87" w:rsidP="00715F6B">
            <w:pPr>
              <w:pStyle w:val="Table-Bullet1"/>
            </w:pPr>
            <w:r w:rsidRPr="008E4545">
              <w:t>Ensures the safety and well-being of all youth</w:t>
            </w:r>
          </w:p>
          <w:p w14:paraId="08D8839D" w14:textId="77777777" w:rsidR="00662F87" w:rsidRPr="008E4545" w:rsidRDefault="00662F87" w:rsidP="00715F6B">
            <w:pPr>
              <w:pStyle w:val="Table-Bullet1"/>
            </w:pPr>
            <w:r w:rsidRPr="008E4545">
              <w:t>Creates a warm and welcoming program environment</w:t>
            </w:r>
          </w:p>
          <w:p w14:paraId="753DD1BC" w14:textId="77777777" w:rsidR="00662F87" w:rsidRPr="008E4545" w:rsidRDefault="00662F87" w:rsidP="00715F6B">
            <w:pPr>
              <w:pStyle w:val="Table-Bullet1"/>
            </w:pPr>
            <w:r w:rsidRPr="008E4545">
              <w:t>Knows the names of all youth and what is going on in their lives</w:t>
            </w:r>
          </w:p>
          <w:p w14:paraId="5FA3FFDF" w14:textId="77777777" w:rsidR="00662F87" w:rsidRPr="00A40B68" w:rsidRDefault="00662F87" w:rsidP="00715F6B">
            <w:pPr>
              <w:pStyle w:val="Table-Bullet1"/>
              <w:rPr>
                <w:spacing w:val="-6"/>
              </w:rPr>
            </w:pPr>
            <w:r w:rsidRPr="00A40B68">
              <w:rPr>
                <w:spacing w:val="-6"/>
              </w:rPr>
              <w:t>Builds respectful, reciprocal relationships among youth and staff</w:t>
            </w:r>
          </w:p>
          <w:p w14:paraId="319C017A" w14:textId="77777777" w:rsidR="00662F87" w:rsidRDefault="00662F87" w:rsidP="00715F6B">
            <w:pPr>
              <w:pStyle w:val="Table-Bullet1"/>
            </w:pPr>
            <w:r w:rsidRPr="008E4545">
              <w:t>Provides opportunities for choice in activities</w:t>
            </w:r>
          </w:p>
          <w:p w14:paraId="48F17BA3" w14:textId="77777777" w:rsidR="00662F87" w:rsidRPr="00A40B68" w:rsidRDefault="00662F87" w:rsidP="00E83825">
            <w:pPr>
              <w:pStyle w:val="Table-Bullet1"/>
              <w:ind w:left="331" w:hanging="245"/>
              <w:rPr>
                <w:spacing w:val="-6"/>
              </w:rPr>
            </w:pPr>
            <w:r w:rsidRPr="00A40B68">
              <w:rPr>
                <w:spacing w:val="-6"/>
              </w:rPr>
              <w:t>Provides opportunity for youth voice and authentic decision-making</w:t>
            </w:r>
          </w:p>
          <w:p w14:paraId="7320FFA4" w14:textId="77777777" w:rsidR="00662F87" w:rsidRPr="008E4545" w:rsidRDefault="00662F87" w:rsidP="00715F6B">
            <w:pPr>
              <w:pStyle w:val="Table-Bullet1"/>
            </w:pPr>
            <w:r w:rsidRPr="00A40B68">
              <w:rPr>
                <w:spacing w:val="-4"/>
              </w:rPr>
              <w:t>Allows opportunities for reflection</w:t>
            </w:r>
          </w:p>
        </w:tc>
        <w:tc>
          <w:tcPr>
            <w:tcW w:w="3355" w:type="dxa"/>
          </w:tcPr>
          <w:p w14:paraId="53FC3834" w14:textId="77777777" w:rsidR="00662F87" w:rsidRPr="00662F87" w:rsidRDefault="00662F87" w:rsidP="00662F87">
            <w:pPr>
              <w:pStyle w:val="BodyText"/>
            </w:pPr>
          </w:p>
        </w:tc>
      </w:tr>
      <w:tr w:rsidR="00662F87" w:rsidRPr="00662F87" w14:paraId="0BD40FDF" w14:textId="77777777" w:rsidTr="00A40B68">
        <w:trPr>
          <w:trHeight w:val="3635"/>
        </w:trPr>
        <w:tc>
          <w:tcPr>
            <w:tcW w:w="3141" w:type="dxa"/>
          </w:tcPr>
          <w:p w14:paraId="71C4D391" w14:textId="77777777" w:rsidR="00662F87" w:rsidRPr="00662F87" w:rsidRDefault="00662F87" w:rsidP="00662F87">
            <w:pPr>
              <w:pStyle w:val="BodyText"/>
            </w:pPr>
          </w:p>
        </w:tc>
        <w:tc>
          <w:tcPr>
            <w:tcW w:w="3569" w:type="dxa"/>
            <w:shd w:val="clear" w:color="auto" w:fill="E6E6E6"/>
          </w:tcPr>
          <w:p w14:paraId="26F55524" w14:textId="77777777" w:rsidR="00662F87" w:rsidRPr="00D97F62" w:rsidRDefault="00662F87" w:rsidP="00EA362E">
            <w:pPr>
              <w:pStyle w:val="BodyText"/>
              <w:spacing w:before="90"/>
              <w:rPr>
                <w:b/>
                <w:spacing w:val="-6"/>
              </w:rPr>
            </w:pPr>
            <w:r w:rsidRPr="00D97F62">
              <w:rPr>
                <w:b/>
                <w:spacing w:val="-6"/>
              </w:rPr>
              <w:t>Plans program schedule/activities intentionally</w:t>
            </w:r>
          </w:p>
          <w:p w14:paraId="2CD01C79" w14:textId="77777777" w:rsidR="00662F87" w:rsidRPr="008E4545" w:rsidRDefault="00662F87" w:rsidP="00715F6B">
            <w:pPr>
              <w:pStyle w:val="Table-Bullet1"/>
            </w:pPr>
            <w:r w:rsidRPr="008E4545">
              <w:t>Uses provided program planning tools to plan program schedule/activities in advance</w:t>
            </w:r>
          </w:p>
          <w:p w14:paraId="46E111FE" w14:textId="77777777" w:rsidR="00662F87" w:rsidRPr="008E4545" w:rsidRDefault="00662F87" w:rsidP="00715F6B">
            <w:pPr>
              <w:pStyle w:val="Table-Bullet1"/>
            </w:pPr>
            <w:r w:rsidRPr="008E4545">
              <w:t>Plans activities by using data (see below)</w:t>
            </w:r>
          </w:p>
          <w:p w14:paraId="437C146A" w14:textId="77777777" w:rsidR="00662F87" w:rsidRPr="008E4545" w:rsidRDefault="00662F87" w:rsidP="00715F6B">
            <w:pPr>
              <w:pStyle w:val="Table-Bullet1"/>
            </w:pPr>
            <w:r w:rsidRPr="008E4545">
              <w:t>Plans activities in consideration of the principles of SAFE (sequenced, active, focused, and explicit) to ensure skill-building opportunities</w:t>
            </w:r>
          </w:p>
          <w:p w14:paraId="0A2809DE" w14:textId="77777777" w:rsidR="00662F87" w:rsidRPr="008E4545" w:rsidRDefault="00662F87" w:rsidP="00715F6B">
            <w:pPr>
              <w:pStyle w:val="Table-Bullet1"/>
            </w:pPr>
            <w:r w:rsidRPr="008E4545">
              <w:t>Reflects on program schedule/activities to make improvements</w:t>
            </w:r>
          </w:p>
        </w:tc>
        <w:tc>
          <w:tcPr>
            <w:tcW w:w="3355" w:type="dxa"/>
          </w:tcPr>
          <w:p w14:paraId="3D0F3794" w14:textId="77777777" w:rsidR="00662F87" w:rsidRPr="00662F87" w:rsidRDefault="00662F87" w:rsidP="00662F87">
            <w:pPr>
              <w:pStyle w:val="BodyText"/>
            </w:pPr>
          </w:p>
        </w:tc>
      </w:tr>
      <w:tr w:rsidR="00662F87" w:rsidRPr="00662F87" w14:paraId="4578C883" w14:textId="77777777" w:rsidTr="00A40B68">
        <w:trPr>
          <w:trHeight w:val="720"/>
        </w:trPr>
        <w:tc>
          <w:tcPr>
            <w:tcW w:w="3141" w:type="dxa"/>
          </w:tcPr>
          <w:p w14:paraId="61718F17" w14:textId="77777777" w:rsidR="00662F87" w:rsidRPr="00662F87" w:rsidRDefault="00662F87" w:rsidP="00662F87">
            <w:pPr>
              <w:pStyle w:val="BodyText"/>
            </w:pPr>
          </w:p>
        </w:tc>
        <w:tc>
          <w:tcPr>
            <w:tcW w:w="3569" w:type="dxa"/>
            <w:shd w:val="clear" w:color="auto" w:fill="E6E6E6"/>
          </w:tcPr>
          <w:p w14:paraId="5C8B3E38" w14:textId="77777777" w:rsidR="00662F87" w:rsidRPr="00D97F62" w:rsidRDefault="00662F87" w:rsidP="00EA362E">
            <w:pPr>
              <w:pStyle w:val="BodyText"/>
              <w:spacing w:before="90"/>
              <w:rPr>
                <w:b/>
                <w:spacing w:val="-6"/>
              </w:rPr>
            </w:pPr>
            <w:r w:rsidRPr="00D97F62">
              <w:rPr>
                <w:b/>
                <w:spacing w:val="-6"/>
              </w:rPr>
              <w:t xml:space="preserve">Uses data to drive program </w:t>
            </w:r>
          </w:p>
          <w:p w14:paraId="64DED484" w14:textId="77777777" w:rsidR="00662F87" w:rsidRPr="008E4545" w:rsidRDefault="00662F87" w:rsidP="00715F6B">
            <w:pPr>
              <w:pStyle w:val="Table-Bullet1"/>
            </w:pPr>
            <w:r w:rsidRPr="008E4545">
              <w:t>Conducts self-assessments or observes activities and uses program observation data to make improvements</w:t>
            </w:r>
          </w:p>
          <w:p w14:paraId="538BB48D" w14:textId="77777777" w:rsidR="00662F87" w:rsidRPr="008E4545" w:rsidRDefault="00662F87" w:rsidP="00715F6B">
            <w:pPr>
              <w:pStyle w:val="Table-Bullet1"/>
            </w:pPr>
            <w:r w:rsidRPr="008E4545">
              <w:t>Asks youth, teachers, and families what youth are working on in other settings and where they may need additional support</w:t>
            </w:r>
          </w:p>
          <w:p w14:paraId="319A74F1" w14:textId="77777777" w:rsidR="00662F87" w:rsidRPr="008E4545" w:rsidRDefault="00662F87" w:rsidP="00715F6B">
            <w:pPr>
              <w:pStyle w:val="Table-Bullet1"/>
            </w:pPr>
            <w:r w:rsidRPr="008E4545">
              <w:t>Conducts formal and informal check-ins with youth and their families on program satisfaction; uses data to make improvements</w:t>
            </w:r>
          </w:p>
        </w:tc>
        <w:tc>
          <w:tcPr>
            <w:tcW w:w="3355" w:type="dxa"/>
          </w:tcPr>
          <w:p w14:paraId="0D8514B9" w14:textId="77777777" w:rsidR="00662F87" w:rsidRPr="00662F87" w:rsidRDefault="00662F87" w:rsidP="00662F87">
            <w:pPr>
              <w:pStyle w:val="BodyText"/>
            </w:pPr>
          </w:p>
        </w:tc>
      </w:tr>
      <w:tr w:rsidR="00662F87" w:rsidRPr="00662F87" w14:paraId="5541FE31" w14:textId="77777777" w:rsidTr="00A40B68">
        <w:trPr>
          <w:trHeight w:val="720"/>
        </w:trPr>
        <w:tc>
          <w:tcPr>
            <w:tcW w:w="3141" w:type="dxa"/>
          </w:tcPr>
          <w:p w14:paraId="45B1121F" w14:textId="77777777" w:rsidR="00662F87" w:rsidRPr="00662F87" w:rsidRDefault="00662F87" w:rsidP="00662F87">
            <w:pPr>
              <w:pStyle w:val="BodyText"/>
            </w:pPr>
          </w:p>
        </w:tc>
        <w:tc>
          <w:tcPr>
            <w:tcW w:w="3569" w:type="dxa"/>
            <w:shd w:val="clear" w:color="auto" w:fill="E6E6E6"/>
          </w:tcPr>
          <w:p w14:paraId="35110282" w14:textId="77777777" w:rsidR="00662F87" w:rsidRPr="00D97F62" w:rsidRDefault="00662F87" w:rsidP="00EA362E">
            <w:pPr>
              <w:pStyle w:val="BodyText"/>
              <w:spacing w:before="90"/>
              <w:rPr>
                <w:b/>
                <w:spacing w:val="-6"/>
              </w:rPr>
            </w:pPr>
            <w:r w:rsidRPr="00D97F62">
              <w:rPr>
                <w:b/>
                <w:spacing w:val="-6"/>
              </w:rPr>
              <w:t>Develops relationships with the community, school, and families</w:t>
            </w:r>
          </w:p>
          <w:p w14:paraId="689A077F" w14:textId="77777777" w:rsidR="00662F87" w:rsidRPr="008E4545" w:rsidRDefault="00662F87" w:rsidP="00715F6B">
            <w:pPr>
              <w:pStyle w:val="Table-Bullet1"/>
            </w:pPr>
            <w:r w:rsidRPr="008E4545">
              <w:t xml:space="preserve">Interacts frequently with teachers, school personnel, families, and community members </w:t>
            </w:r>
          </w:p>
          <w:p w14:paraId="781E7DE8" w14:textId="77777777" w:rsidR="00662F87" w:rsidRPr="008E4545" w:rsidRDefault="00662F87" w:rsidP="00715F6B">
            <w:pPr>
              <w:pStyle w:val="Table-Bullet1"/>
            </w:pPr>
            <w:r w:rsidRPr="008E4545">
              <w:t xml:space="preserve">Shares data </w:t>
            </w:r>
          </w:p>
          <w:p w14:paraId="44D12744" w14:textId="77777777" w:rsidR="00662F87" w:rsidRPr="008E4545" w:rsidRDefault="00662F87" w:rsidP="00715F6B">
            <w:pPr>
              <w:pStyle w:val="Table-Bullet1"/>
            </w:pPr>
            <w:r w:rsidRPr="008E4545">
              <w:t>Collaboratively develops strategies</w:t>
            </w:r>
          </w:p>
          <w:p w14:paraId="26DC2A74" w14:textId="77777777" w:rsidR="00662F87" w:rsidRPr="008E4545" w:rsidRDefault="00662F87" w:rsidP="00715F6B">
            <w:pPr>
              <w:pStyle w:val="Table-Bullet1"/>
            </w:pPr>
            <w:r w:rsidRPr="008E4545">
              <w:t>Celebrates success publicly</w:t>
            </w:r>
          </w:p>
        </w:tc>
        <w:tc>
          <w:tcPr>
            <w:tcW w:w="3355" w:type="dxa"/>
          </w:tcPr>
          <w:p w14:paraId="67557A4E" w14:textId="77777777" w:rsidR="00662F87" w:rsidRPr="00662F87" w:rsidRDefault="00662F87" w:rsidP="00662F87">
            <w:pPr>
              <w:pStyle w:val="BodyText"/>
            </w:pPr>
          </w:p>
        </w:tc>
      </w:tr>
      <w:tr w:rsidR="00662F87" w:rsidRPr="00662F87" w14:paraId="21F67E31" w14:textId="77777777" w:rsidTr="00A40B68">
        <w:trPr>
          <w:cantSplit/>
          <w:trHeight w:val="720"/>
        </w:trPr>
        <w:tc>
          <w:tcPr>
            <w:tcW w:w="3141" w:type="dxa"/>
          </w:tcPr>
          <w:p w14:paraId="5FC1814E" w14:textId="77777777" w:rsidR="00662F87" w:rsidRPr="00662F87" w:rsidRDefault="00662F87" w:rsidP="00662F87">
            <w:pPr>
              <w:pStyle w:val="BodyText"/>
            </w:pPr>
          </w:p>
        </w:tc>
        <w:tc>
          <w:tcPr>
            <w:tcW w:w="3569" w:type="dxa"/>
            <w:shd w:val="clear" w:color="auto" w:fill="E6E6E6"/>
          </w:tcPr>
          <w:p w14:paraId="1D8A6F92" w14:textId="77777777" w:rsidR="00662F87" w:rsidRPr="00D97F62" w:rsidRDefault="00662F87" w:rsidP="00EA362E">
            <w:pPr>
              <w:pStyle w:val="BodyText"/>
              <w:spacing w:before="90"/>
              <w:rPr>
                <w:b/>
                <w:spacing w:val="-6"/>
              </w:rPr>
            </w:pPr>
            <w:r w:rsidRPr="00D97F62">
              <w:rPr>
                <w:b/>
                <w:spacing w:val="-6"/>
              </w:rPr>
              <w:t>Develops as a professional afterschool and expanded learning program staff member</w:t>
            </w:r>
          </w:p>
          <w:p w14:paraId="62E6EC88" w14:textId="77777777" w:rsidR="00662F87" w:rsidRPr="008E4545" w:rsidRDefault="00662F87" w:rsidP="00715F6B">
            <w:pPr>
              <w:pStyle w:val="Table-Bullet1"/>
            </w:pPr>
            <w:r w:rsidRPr="008E4545">
              <w:t>Committed to professional growth by engaging in professional development activities (conferences, classes, technical assistance, or coaching) related to afterschool and expanded learning, youth development, education, and in specific content areas (e.g., STEM)</w:t>
            </w:r>
          </w:p>
        </w:tc>
        <w:tc>
          <w:tcPr>
            <w:tcW w:w="3355" w:type="dxa"/>
          </w:tcPr>
          <w:p w14:paraId="500D1BF6" w14:textId="77777777" w:rsidR="00662F87" w:rsidRPr="00662F87" w:rsidRDefault="00662F87" w:rsidP="00662F87">
            <w:pPr>
              <w:pStyle w:val="BodyText"/>
            </w:pPr>
          </w:p>
        </w:tc>
      </w:tr>
    </w:tbl>
    <w:p w14:paraId="1495CB30" w14:textId="52540C71" w:rsidR="008D3497" w:rsidRDefault="008D3497" w:rsidP="00A40B68">
      <w:pPr>
        <w:pStyle w:val="BodyText"/>
      </w:pPr>
    </w:p>
    <w:p w14:paraId="51A0BCF0" w14:textId="77777777" w:rsidR="008D3497" w:rsidRDefault="008D3497">
      <w:pPr>
        <w:pStyle w:val="BodyText"/>
      </w:pPr>
    </w:p>
    <w:p w14:paraId="1E7D2E7D" w14:textId="5F73E47F" w:rsidR="00EA362E" w:rsidRDefault="00EA362E">
      <w:pPr>
        <w:pStyle w:val="BodyText"/>
      </w:pPr>
      <w:bookmarkStart w:id="0" w:name="_GoBack"/>
      <w:bookmarkEnd w:id="0"/>
    </w:p>
    <w:sectPr w:rsidR="00EA362E" w:rsidSect="00751B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B7E8D" w14:textId="77777777" w:rsidR="00065A77" w:rsidRDefault="00065A77" w:rsidP="0078684C">
      <w:r>
        <w:separator/>
      </w:r>
    </w:p>
  </w:endnote>
  <w:endnote w:type="continuationSeparator" w:id="0">
    <w:p w14:paraId="31AF8444" w14:textId="77777777" w:rsidR="00065A77" w:rsidRDefault="00065A77"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065A77">
      <w:fldChar w:fldCharType="begin"/>
    </w:r>
    <w:r w:rsidR="00065A77">
      <w:instrText xml:space="preserve"> STYLEREF  ToolNumber  \* MERGEFORMAT </w:instrText>
    </w:r>
    <w:r w:rsidR="00065A77">
      <w:fldChar w:fldCharType="separate"/>
    </w:r>
    <w:r w:rsidR="00B80B69">
      <w:rPr>
        <w:noProof/>
      </w:rPr>
      <w:t>26</w:t>
    </w:r>
    <w:r w:rsidR="00065A77">
      <w:rPr>
        <w:noProof/>
      </w:rPr>
      <w:fldChar w:fldCharType="end"/>
    </w:r>
    <w:r w:rsidRPr="00C66F5C">
      <w:t xml:space="preserve"> </w:t>
    </w:r>
    <w:r>
      <w:t xml:space="preserve">  |   Page </w:t>
    </w:r>
    <w:r>
      <w:fldChar w:fldCharType="begin"/>
    </w:r>
    <w:r>
      <w:instrText xml:space="preserve"> PAGE  \* MERGEFORMAT </w:instrText>
    </w:r>
    <w:r>
      <w:fldChar w:fldCharType="separate"/>
    </w:r>
    <w:r w:rsidR="00B80B6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6ADF6" w14:textId="77777777" w:rsidR="00065A77" w:rsidRDefault="00065A77" w:rsidP="0078684C">
      <w:r>
        <w:separator/>
      </w:r>
    </w:p>
  </w:footnote>
  <w:footnote w:type="continuationSeparator" w:id="0">
    <w:p w14:paraId="27543F87" w14:textId="77777777" w:rsidR="00065A77" w:rsidRDefault="00065A77"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65A77"/>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5DF2"/>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2AB5"/>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747"/>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E40"/>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34C3"/>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0B69"/>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24A4"/>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442D"/>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A39"/>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7D99480-3F00-4DC6-9067-967D8024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2014-03-25T15:16:00Z</dcterms:created>
  <dcterms:modified xsi:type="dcterms:W3CDTF">2014-03-25T15:49:00Z</dcterms:modified>
</cp:coreProperties>
</file>