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077C" w14:textId="77777777" w:rsidR="009740D0" w:rsidRPr="00AE7C7C" w:rsidRDefault="009740D0" w:rsidP="009740D0">
      <w:pPr>
        <w:spacing w:line="240" w:lineRule="auto"/>
        <w:rPr>
          <w:sz w:val="14"/>
          <w:szCs w:val="14"/>
        </w:rPr>
      </w:pPr>
    </w:p>
    <w:p w14:paraId="3C24C776" w14:textId="77777777" w:rsidR="009740D0" w:rsidRPr="0078684C" w:rsidRDefault="009740D0" w:rsidP="009740D0">
      <w:pPr>
        <w:pStyle w:val="ToolNumber"/>
        <w:spacing w:line="240" w:lineRule="auto"/>
      </w:pPr>
      <w:r w:rsidRPr="0000267B">
        <w:drawing>
          <wp:anchor distT="0" distB="0" distL="114300" distR="114300" simplePos="0" relativeHeight="252122112" behindDoc="1" locked="0" layoutInCell="1" allowOverlap="1" wp14:anchorId="65E84DC7" wp14:editId="1BFCB8B1">
            <wp:simplePos x="0" y="0"/>
            <wp:positionH relativeFrom="page">
              <wp:posOffset>-38100</wp:posOffset>
            </wp:positionH>
            <wp:positionV relativeFrom="page">
              <wp:posOffset>41275</wp:posOffset>
            </wp:positionV>
            <wp:extent cx="7772400" cy="987425"/>
            <wp:effectExtent l="0" t="0" r="0" b="317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50</w:t>
      </w:r>
    </w:p>
    <w:p w14:paraId="6A04C22C" w14:textId="23E44DF1" w:rsidR="003E7C1F" w:rsidRPr="00B80843" w:rsidRDefault="00337C06" w:rsidP="003E7C1F">
      <w:pPr>
        <w:pStyle w:val="Heading1"/>
      </w:pPr>
      <w:r w:rsidRPr="00B80843">
        <w:rPr>
          <w:noProof/>
        </w:rPr>
        <w:drawing>
          <wp:anchor distT="0" distB="0" distL="114300" distR="114300" simplePos="0" relativeHeight="251845632" behindDoc="0" locked="0" layoutInCell="1" allowOverlap="1" wp14:anchorId="49461945" wp14:editId="52715345">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F2C8B" w:rsidRPr="00BF2C8B">
        <w:t>School Day Alignment Progression</w:t>
      </w:r>
    </w:p>
    <w:p w14:paraId="5399F6B0" w14:textId="0BD5CB48" w:rsidR="00BF2C8B" w:rsidRPr="00BF2C8B" w:rsidRDefault="00BF2C8B" w:rsidP="00A0591F">
      <w:pPr>
        <w:pStyle w:val="BodyText"/>
      </w:pPr>
      <w:r w:rsidRPr="00BF2C8B">
        <w:t xml:space="preserve">In Chapter 3, you learned about the value of aligning your curriculum and activities with the information being covered during the school day. Allowing participants to build on school day learning through hands-on learning can reinforce school day lessons in a different way and provide a real-world application for participants. </w:t>
      </w:r>
    </w:p>
    <w:p w14:paraId="54999C92" w14:textId="11C56333" w:rsidR="00BF2C8B" w:rsidRDefault="00BF2C8B" w:rsidP="00A0591F">
      <w:pPr>
        <w:pStyle w:val="Body-AllItalic"/>
      </w:pPr>
      <w:r w:rsidRPr="002438A5">
        <w:rPr>
          <w:b/>
        </w:rPr>
        <w:t>Directions</w:t>
      </w:r>
      <w:r w:rsidRPr="00452744">
        <w:rPr>
          <w:b/>
        </w:rPr>
        <w:t>:</w:t>
      </w:r>
      <w:r w:rsidRPr="002438A5">
        <w:t xml:space="preserve"> The process of creating alignment with the school day takes time. The matrix below illustrates various areas where you may align with the school day and identifies the typical phases your program may go through as you move toward greater alignment. Examine this chart to determine your program's current level of alignment, </w:t>
      </w:r>
      <w:r>
        <w:t xml:space="preserve">and </w:t>
      </w:r>
      <w:r w:rsidRPr="002438A5">
        <w:t xml:space="preserve">then use </w:t>
      </w:r>
      <w:r w:rsidRPr="002438A5">
        <w:rPr>
          <w:bCs/>
        </w:rPr>
        <w:t xml:space="preserve">the </w:t>
      </w:r>
      <w:r>
        <w:rPr>
          <w:bCs/>
        </w:rPr>
        <w:t xml:space="preserve">blank </w:t>
      </w:r>
      <w:r w:rsidRPr="002438A5">
        <w:rPr>
          <w:bCs/>
        </w:rPr>
        <w:t xml:space="preserve">chart </w:t>
      </w:r>
      <w:r>
        <w:rPr>
          <w:bCs/>
        </w:rPr>
        <w:t>that follows it</w:t>
      </w:r>
      <w:r w:rsidRPr="002438A5">
        <w:t xml:space="preserve"> to plan strategies for moving from one level to the next. </w:t>
      </w:r>
    </w:p>
    <w:p w14:paraId="60944E3D" w14:textId="77777777" w:rsidR="00337C06" w:rsidRPr="00DC7699" w:rsidRDefault="00337C06" w:rsidP="0058518B">
      <w:pPr>
        <w:pStyle w:val="BodyText"/>
      </w:pPr>
    </w:p>
    <w:tbl>
      <w:tblPr>
        <w:tblStyle w:val="TableWithGray"/>
        <w:tblW w:w="5000" w:type="pct"/>
        <w:tblLook w:val="04A0" w:firstRow="1" w:lastRow="0" w:firstColumn="1" w:lastColumn="0" w:noHBand="0" w:noVBand="1"/>
      </w:tblPr>
      <w:tblGrid>
        <w:gridCol w:w="2384"/>
        <w:gridCol w:w="2560"/>
        <w:gridCol w:w="2737"/>
        <w:gridCol w:w="2384"/>
      </w:tblGrid>
      <w:tr w:rsidR="004B350F" w:rsidRPr="002438A5" w14:paraId="44D6563F" w14:textId="77777777" w:rsidTr="00540EC7">
        <w:trPr>
          <w:cnfStyle w:val="100000000000" w:firstRow="1" w:lastRow="0" w:firstColumn="0" w:lastColumn="0" w:oddVBand="0" w:evenVBand="0" w:oddHBand="0" w:evenHBand="0" w:firstRowFirstColumn="0" w:firstRowLastColumn="0" w:lastRowFirstColumn="0" w:lastRowLastColumn="0"/>
          <w:cantSplit/>
          <w:tblHeader/>
        </w:trPr>
        <w:tc>
          <w:tcPr>
            <w:tcW w:w="2384" w:type="dxa"/>
            <w:tcBorders>
              <w:right w:val="single" w:sz="4" w:space="0" w:color="FFFFFF" w:themeColor="background1"/>
            </w:tcBorders>
          </w:tcPr>
          <w:p w14:paraId="241876B1" w14:textId="77777777" w:rsidR="004B350F" w:rsidRPr="002438A5" w:rsidRDefault="004B350F" w:rsidP="004B350F">
            <w:pPr>
              <w:pStyle w:val="TableHeader"/>
            </w:pPr>
            <w:r w:rsidRPr="002438A5">
              <w:t>Characteristic</w:t>
            </w:r>
          </w:p>
        </w:tc>
        <w:tc>
          <w:tcPr>
            <w:tcW w:w="2560" w:type="dxa"/>
            <w:tcBorders>
              <w:left w:val="single" w:sz="4" w:space="0" w:color="FFFFFF" w:themeColor="background1"/>
              <w:right w:val="single" w:sz="4" w:space="0" w:color="FFFFFF" w:themeColor="background1"/>
            </w:tcBorders>
          </w:tcPr>
          <w:p w14:paraId="598E1C1F" w14:textId="77777777" w:rsidR="004B350F" w:rsidRPr="002438A5" w:rsidRDefault="004B350F" w:rsidP="004B350F">
            <w:pPr>
              <w:pStyle w:val="TableHeader"/>
            </w:pPr>
            <w:r w:rsidRPr="002438A5">
              <w:t xml:space="preserve">Beginning </w:t>
            </w:r>
            <w:r>
              <w:t>A</w:t>
            </w:r>
            <w:r w:rsidRPr="002438A5">
              <w:t>lignment</w:t>
            </w:r>
          </w:p>
        </w:tc>
        <w:tc>
          <w:tcPr>
            <w:tcW w:w="2737" w:type="dxa"/>
            <w:tcBorders>
              <w:left w:val="single" w:sz="4" w:space="0" w:color="FFFFFF" w:themeColor="background1"/>
              <w:right w:val="single" w:sz="4" w:space="0" w:color="FFFFFF" w:themeColor="background1"/>
            </w:tcBorders>
          </w:tcPr>
          <w:p w14:paraId="3BD9B777" w14:textId="77777777" w:rsidR="004B350F" w:rsidRPr="002438A5" w:rsidRDefault="004B350F" w:rsidP="004B350F">
            <w:pPr>
              <w:pStyle w:val="TableHeader"/>
            </w:pPr>
            <w:r w:rsidRPr="002438A5">
              <w:t xml:space="preserve">Intermediate </w:t>
            </w:r>
            <w:r>
              <w:t>A</w:t>
            </w:r>
            <w:r w:rsidRPr="002438A5">
              <w:t>lignment</w:t>
            </w:r>
          </w:p>
        </w:tc>
        <w:tc>
          <w:tcPr>
            <w:tcW w:w="2384" w:type="dxa"/>
            <w:tcBorders>
              <w:left w:val="single" w:sz="4" w:space="0" w:color="FFFFFF" w:themeColor="background1"/>
            </w:tcBorders>
          </w:tcPr>
          <w:p w14:paraId="2A6020C8" w14:textId="77777777" w:rsidR="004B350F" w:rsidRPr="002438A5" w:rsidRDefault="004B350F" w:rsidP="004B350F">
            <w:pPr>
              <w:pStyle w:val="TableHeader"/>
            </w:pPr>
            <w:r w:rsidRPr="002438A5">
              <w:t xml:space="preserve">Advanced </w:t>
            </w:r>
            <w:r>
              <w:t>A</w:t>
            </w:r>
            <w:r w:rsidRPr="002438A5">
              <w:t>lignment</w:t>
            </w:r>
          </w:p>
        </w:tc>
      </w:tr>
      <w:tr w:rsidR="004B350F" w:rsidRPr="002438A5" w14:paraId="61D48575" w14:textId="77777777" w:rsidTr="00DF3507">
        <w:trPr>
          <w:cantSplit/>
          <w:trHeight w:val="20"/>
        </w:trPr>
        <w:tc>
          <w:tcPr>
            <w:tcW w:w="2384" w:type="dxa"/>
            <w:vAlign w:val="top"/>
          </w:tcPr>
          <w:p w14:paraId="6DB79490" w14:textId="77777777" w:rsidR="004B350F" w:rsidRPr="00644D95" w:rsidRDefault="004B350F" w:rsidP="00DB248D">
            <w:pPr>
              <w:pStyle w:val="BodyText"/>
              <w:rPr>
                <w:rFonts w:eastAsia="Times" w:cstheme="minorHAnsi"/>
              </w:rPr>
            </w:pPr>
            <w:r w:rsidRPr="00644D95">
              <w:rPr>
                <w:rFonts w:eastAsia="Times" w:cstheme="minorHAnsi"/>
              </w:rPr>
              <w:t>Curriculum</w:t>
            </w:r>
          </w:p>
        </w:tc>
        <w:tc>
          <w:tcPr>
            <w:tcW w:w="2560" w:type="dxa"/>
            <w:vAlign w:val="top"/>
          </w:tcPr>
          <w:p w14:paraId="36CB44CF" w14:textId="77777777" w:rsidR="004B350F" w:rsidRPr="004B350F" w:rsidRDefault="004B350F" w:rsidP="00936C19">
            <w:pPr>
              <w:pStyle w:val="Table-Bullet1"/>
            </w:pPr>
            <w:r w:rsidRPr="002438A5">
              <w:t>School identifies activities cut from traditional school day because of budget issues (e.g., music, art) to be offered during</w:t>
            </w:r>
            <w:r>
              <w:t xml:space="preserve"> </w:t>
            </w:r>
            <w:r w:rsidRPr="002438A5">
              <w:t>program.</w:t>
            </w:r>
          </w:p>
        </w:tc>
        <w:tc>
          <w:tcPr>
            <w:tcW w:w="2737" w:type="dxa"/>
            <w:vAlign w:val="top"/>
          </w:tcPr>
          <w:p w14:paraId="2F1B93A4" w14:textId="77777777" w:rsidR="004B350F" w:rsidRPr="002438A5" w:rsidRDefault="004B350F" w:rsidP="00936C19">
            <w:pPr>
              <w:pStyle w:val="Table-Bullet1"/>
            </w:pPr>
            <w:r w:rsidRPr="002438A5">
              <w:t>Youth activities in the program are highlighted in school assemblies</w:t>
            </w:r>
            <w:r>
              <w:t>,</w:t>
            </w:r>
            <w:r w:rsidRPr="002438A5">
              <w:t xml:space="preserve"> or student work is hung in school building.</w:t>
            </w:r>
          </w:p>
          <w:p w14:paraId="4FFBB745" w14:textId="77777777" w:rsidR="004B350F" w:rsidRPr="002438A5" w:rsidRDefault="004B350F" w:rsidP="00936C19">
            <w:pPr>
              <w:pStyle w:val="Table-Bullet1"/>
            </w:pPr>
            <w:r w:rsidRPr="002438A5">
              <w:t>School day teachers suggest various afterschool activities that extend classroom learning.</w:t>
            </w:r>
          </w:p>
          <w:p w14:paraId="06B2B0DB" w14:textId="77777777" w:rsidR="004B350F" w:rsidRPr="002438A5" w:rsidRDefault="004B350F" w:rsidP="00936C19">
            <w:pPr>
              <w:pStyle w:val="Table-Bullet1"/>
            </w:pPr>
            <w:r>
              <w:t>Program</w:t>
            </w:r>
            <w:r w:rsidRPr="002438A5">
              <w:t xml:space="preserve"> activities are specifically designed to support core skills in math, literacy</w:t>
            </w:r>
            <w:r>
              <w:t>,</w:t>
            </w:r>
            <w:r w:rsidRPr="002438A5">
              <w:t xml:space="preserve"> and other skills identified by teachers.</w:t>
            </w:r>
          </w:p>
        </w:tc>
        <w:tc>
          <w:tcPr>
            <w:tcW w:w="2384" w:type="dxa"/>
            <w:vAlign w:val="top"/>
          </w:tcPr>
          <w:p w14:paraId="10376C6C" w14:textId="77777777" w:rsidR="004B350F" w:rsidRPr="002438A5" w:rsidRDefault="004B350F" w:rsidP="00936C19">
            <w:pPr>
              <w:pStyle w:val="Table-Bullet1"/>
            </w:pPr>
            <w:r w:rsidRPr="002438A5">
              <w:t xml:space="preserve">Activities are planned to coordinate with the school day curriculum. </w:t>
            </w:r>
          </w:p>
          <w:p w14:paraId="39471AD1" w14:textId="77777777" w:rsidR="004B350F" w:rsidRPr="002438A5" w:rsidRDefault="004B350F" w:rsidP="00936C19">
            <w:pPr>
              <w:pStyle w:val="Table-Bullet1"/>
            </w:pPr>
            <w:r w:rsidRPr="002438A5">
              <w:t>Students can submit work done in program for extra credit in class.</w:t>
            </w:r>
          </w:p>
          <w:p w14:paraId="77DC8483" w14:textId="77777777" w:rsidR="004B350F" w:rsidRPr="002438A5" w:rsidRDefault="004B350F" w:rsidP="00936C19">
            <w:pPr>
              <w:pStyle w:val="Table-Bullet1"/>
            </w:pPr>
            <w:r w:rsidRPr="002438A5">
              <w:t>Students can receive core academic credit for completion and documentation of high</w:t>
            </w:r>
            <w:r>
              <w:t>-</w:t>
            </w:r>
            <w:r w:rsidRPr="002438A5">
              <w:t xml:space="preserve">quality </w:t>
            </w:r>
            <w:r>
              <w:t>program</w:t>
            </w:r>
            <w:r w:rsidRPr="002438A5">
              <w:t xml:space="preserve"> learning opportunities.</w:t>
            </w:r>
          </w:p>
        </w:tc>
      </w:tr>
      <w:tr w:rsidR="004B350F" w:rsidRPr="002438A5" w14:paraId="4F626EC2" w14:textId="77777777" w:rsidTr="00DF3507">
        <w:trPr>
          <w:cantSplit/>
          <w:trHeight w:val="20"/>
        </w:trPr>
        <w:tc>
          <w:tcPr>
            <w:tcW w:w="2384" w:type="dxa"/>
            <w:vAlign w:val="top"/>
          </w:tcPr>
          <w:p w14:paraId="3110BAB0" w14:textId="77777777" w:rsidR="004B350F" w:rsidRPr="00644D95" w:rsidRDefault="004B350F" w:rsidP="00DB248D">
            <w:pPr>
              <w:pStyle w:val="BodyText"/>
              <w:rPr>
                <w:rFonts w:eastAsia="Times" w:cstheme="minorHAnsi"/>
              </w:rPr>
            </w:pPr>
            <w:r w:rsidRPr="00644D95">
              <w:rPr>
                <w:rFonts w:eastAsia="Times" w:cstheme="minorHAnsi"/>
              </w:rPr>
              <w:t>Recruitment of Young People</w:t>
            </w:r>
          </w:p>
        </w:tc>
        <w:tc>
          <w:tcPr>
            <w:tcW w:w="2560" w:type="dxa"/>
            <w:vAlign w:val="top"/>
          </w:tcPr>
          <w:p w14:paraId="69D6BBF7" w14:textId="77777777" w:rsidR="004B350F" w:rsidRPr="002438A5" w:rsidRDefault="004B350F" w:rsidP="00936C19">
            <w:pPr>
              <w:pStyle w:val="Table-Bullet1"/>
            </w:pPr>
            <w:r w:rsidRPr="002438A5">
              <w:t>Promotional materials for the program are distributed in classrooms.</w:t>
            </w:r>
          </w:p>
        </w:tc>
        <w:tc>
          <w:tcPr>
            <w:tcW w:w="2737" w:type="dxa"/>
            <w:vAlign w:val="top"/>
          </w:tcPr>
          <w:p w14:paraId="6DF5DE40" w14:textId="77777777" w:rsidR="004B350F" w:rsidRDefault="004B350F" w:rsidP="00936C19">
            <w:pPr>
              <w:pStyle w:val="Table-Bullet1"/>
            </w:pPr>
            <w:r>
              <w:t>P</w:t>
            </w:r>
            <w:r w:rsidRPr="002438A5">
              <w:t xml:space="preserve">rogram promotes </w:t>
            </w:r>
            <w:r>
              <w:t>itself</w:t>
            </w:r>
            <w:r w:rsidRPr="002438A5">
              <w:t xml:space="preserve"> in school</w:t>
            </w:r>
            <w:r>
              <w:t xml:space="preserve"> </w:t>
            </w:r>
            <w:r w:rsidRPr="002438A5">
              <w:t>day assemblies or recruitment fairs.</w:t>
            </w:r>
            <w:r>
              <w:t xml:space="preserve"> </w:t>
            </w:r>
          </w:p>
          <w:p w14:paraId="0C5C3032" w14:textId="77777777" w:rsidR="004B350F" w:rsidRPr="002438A5" w:rsidRDefault="004B350F" w:rsidP="00936C19">
            <w:pPr>
              <w:pStyle w:val="Table-Bullet1"/>
            </w:pPr>
            <w:r w:rsidRPr="002438A5">
              <w:t>Teachers actively encourage students to register.</w:t>
            </w:r>
          </w:p>
        </w:tc>
        <w:tc>
          <w:tcPr>
            <w:tcW w:w="2384" w:type="dxa"/>
            <w:vAlign w:val="top"/>
          </w:tcPr>
          <w:p w14:paraId="47B193DA" w14:textId="77777777" w:rsidR="004B350F" w:rsidRPr="002438A5" w:rsidRDefault="004B350F" w:rsidP="00936C19">
            <w:pPr>
              <w:pStyle w:val="Table-Bullet1"/>
            </w:pPr>
            <w:r w:rsidRPr="002438A5">
              <w:t>School day teachers recruit and refer students for the program.</w:t>
            </w:r>
          </w:p>
          <w:p w14:paraId="0281FA0D" w14:textId="77777777" w:rsidR="004B350F" w:rsidRPr="002438A5" w:rsidRDefault="004B350F" w:rsidP="00936C19">
            <w:pPr>
              <w:pStyle w:val="Table-Bullet1"/>
            </w:pPr>
            <w:r>
              <w:t>The s</w:t>
            </w:r>
            <w:r w:rsidRPr="002438A5">
              <w:t xml:space="preserve">chool staff and </w:t>
            </w:r>
            <w:r>
              <w:t>program</w:t>
            </w:r>
            <w:r w:rsidRPr="002438A5">
              <w:t xml:space="preserve"> staff review data together to identify students in need of services.</w:t>
            </w:r>
          </w:p>
        </w:tc>
      </w:tr>
      <w:tr w:rsidR="004B350F" w:rsidRPr="002438A5" w14:paraId="74EC5945" w14:textId="77777777" w:rsidTr="00DF3507">
        <w:trPr>
          <w:cantSplit/>
          <w:trHeight w:val="20"/>
        </w:trPr>
        <w:tc>
          <w:tcPr>
            <w:tcW w:w="2384" w:type="dxa"/>
            <w:vAlign w:val="top"/>
          </w:tcPr>
          <w:p w14:paraId="0E3FDE80" w14:textId="77777777" w:rsidR="004B350F" w:rsidRPr="00644D95" w:rsidRDefault="004B350F" w:rsidP="00DB248D">
            <w:pPr>
              <w:pStyle w:val="BodyText"/>
              <w:rPr>
                <w:rFonts w:eastAsia="Times New Roman" w:cstheme="minorHAnsi"/>
                <w:bCs/>
              </w:rPr>
            </w:pPr>
            <w:r w:rsidRPr="00644D95">
              <w:rPr>
                <w:rFonts w:eastAsia="Times New Roman" w:cstheme="minorHAnsi"/>
                <w:bCs/>
              </w:rPr>
              <w:lastRenderedPageBreak/>
              <w:t xml:space="preserve">Tutoring Program and Homework Help </w:t>
            </w:r>
          </w:p>
        </w:tc>
        <w:tc>
          <w:tcPr>
            <w:tcW w:w="2560" w:type="dxa"/>
            <w:vAlign w:val="top"/>
          </w:tcPr>
          <w:p w14:paraId="43478CB2" w14:textId="77777777" w:rsidR="004B350F" w:rsidRPr="002438A5" w:rsidRDefault="004B350F" w:rsidP="00936C19">
            <w:pPr>
              <w:pStyle w:val="Table-Bullet1"/>
            </w:pPr>
            <w:r w:rsidRPr="002438A5">
              <w:t>School day teachers work as tutors in the program.</w:t>
            </w:r>
          </w:p>
          <w:p w14:paraId="2AED6B59" w14:textId="77777777" w:rsidR="004B350F" w:rsidRPr="002438A5" w:rsidRDefault="004B350F" w:rsidP="00936C19">
            <w:pPr>
              <w:pStyle w:val="Table-Bullet1"/>
            </w:pPr>
            <w:r w:rsidRPr="002438A5">
              <w:t>The district shares its standards and curriculum goals with the program.</w:t>
            </w:r>
          </w:p>
          <w:p w14:paraId="713BF146" w14:textId="77777777" w:rsidR="004B350F" w:rsidRPr="002438A5" w:rsidRDefault="004B350F" w:rsidP="00936C19">
            <w:pPr>
              <w:pStyle w:val="Table-Bullet1"/>
            </w:pPr>
            <w:r w:rsidRPr="002438A5">
              <w:t>Time and resources are provided for young people to complete their homework.</w:t>
            </w:r>
          </w:p>
        </w:tc>
        <w:tc>
          <w:tcPr>
            <w:tcW w:w="2737" w:type="dxa"/>
            <w:vAlign w:val="top"/>
          </w:tcPr>
          <w:p w14:paraId="23A3F042" w14:textId="77777777" w:rsidR="004B350F" w:rsidRPr="002438A5" w:rsidRDefault="004B350F" w:rsidP="00936C19">
            <w:pPr>
              <w:pStyle w:val="Table-Bullet1"/>
            </w:pPr>
            <w:r w:rsidRPr="002438A5">
              <w:t xml:space="preserve">School day teachers send assignments to the </w:t>
            </w:r>
            <w:r>
              <w:t>program</w:t>
            </w:r>
            <w:r w:rsidRPr="002438A5">
              <w:t xml:space="preserve"> staff.</w:t>
            </w:r>
          </w:p>
          <w:p w14:paraId="6344E81F" w14:textId="77777777" w:rsidR="004B350F" w:rsidRPr="002438A5" w:rsidRDefault="004B350F" w:rsidP="00936C19">
            <w:pPr>
              <w:pStyle w:val="Table-Bullet1"/>
            </w:pPr>
            <w:r w:rsidRPr="002438A5">
              <w:t xml:space="preserve">School day teachers provide activities for </w:t>
            </w:r>
            <w:r>
              <w:t xml:space="preserve">program staff members and/or </w:t>
            </w:r>
            <w:r w:rsidRPr="002438A5">
              <w:t xml:space="preserve">tutors to </w:t>
            </w:r>
            <w:r>
              <w:t xml:space="preserve">use to </w:t>
            </w:r>
            <w:r w:rsidRPr="002438A5">
              <w:t>reinforce and enrich classroom activities.</w:t>
            </w:r>
          </w:p>
          <w:p w14:paraId="6589C66D" w14:textId="77777777" w:rsidR="004B350F" w:rsidRPr="002438A5" w:rsidRDefault="004B350F" w:rsidP="00936C19">
            <w:pPr>
              <w:pStyle w:val="Table-Bullet1"/>
            </w:pPr>
            <w:r>
              <w:t>Program</w:t>
            </w:r>
            <w:r w:rsidRPr="002438A5">
              <w:t xml:space="preserve"> staff communicat</w:t>
            </w:r>
            <w:r>
              <w:t>es</w:t>
            </w:r>
            <w:r w:rsidRPr="002438A5">
              <w:t xml:space="preserve"> with school day teachers about difficulties that students are having with homework. Teachers and </w:t>
            </w:r>
            <w:r>
              <w:t>program staff members /</w:t>
            </w:r>
            <w:r w:rsidRPr="002438A5">
              <w:t>tutors develop two-way communication about homework.</w:t>
            </w:r>
          </w:p>
        </w:tc>
        <w:tc>
          <w:tcPr>
            <w:tcW w:w="2384" w:type="dxa"/>
            <w:vAlign w:val="top"/>
          </w:tcPr>
          <w:p w14:paraId="718E2347" w14:textId="77777777" w:rsidR="004B350F" w:rsidRPr="002438A5" w:rsidRDefault="004B350F" w:rsidP="00936C19">
            <w:pPr>
              <w:pStyle w:val="Table-Bullet1"/>
            </w:pPr>
            <w:r w:rsidRPr="002438A5">
              <w:t xml:space="preserve">School day teachers and </w:t>
            </w:r>
            <w:r>
              <w:t>program tutors</w:t>
            </w:r>
            <w:r w:rsidRPr="002438A5">
              <w:t xml:space="preserve"> meet regularly to review student progress.</w:t>
            </w:r>
          </w:p>
        </w:tc>
      </w:tr>
      <w:tr w:rsidR="004B350F" w:rsidRPr="002438A5" w14:paraId="496DC482" w14:textId="77777777" w:rsidTr="00DF3507">
        <w:trPr>
          <w:cantSplit/>
          <w:trHeight w:val="20"/>
        </w:trPr>
        <w:tc>
          <w:tcPr>
            <w:tcW w:w="2384" w:type="dxa"/>
            <w:vAlign w:val="top"/>
          </w:tcPr>
          <w:p w14:paraId="2A299D49" w14:textId="77777777" w:rsidR="004B350F" w:rsidRPr="00644D95" w:rsidRDefault="004B350F" w:rsidP="00DB248D">
            <w:pPr>
              <w:pStyle w:val="BodyText"/>
              <w:rPr>
                <w:rFonts w:eastAsia="Times" w:cstheme="minorHAnsi"/>
              </w:rPr>
            </w:pPr>
            <w:r w:rsidRPr="00644D95">
              <w:rPr>
                <w:rFonts w:eastAsia="Times" w:cstheme="minorHAnsi"/>
              </w:rPr>
              <w:t>Recreational Activities</w:t>
            </w:r>
          </w:p>
        </w:tc>
        <w:tc>
          <w:tcPr>
            <w:tcW w:w="2560" w:type="dxa"/>
            <w:vAlign w:val="top"/>
          </w:tcPr>
          <w:p w14:paraId="1983BEAE" w14:textId="77777777" w:rsidR="004B350F" w:rsidRPr="002438A5" w:rsidRDefault="004B350F" w:rsidP="00936C19">
            <w:pPr>
              <w:pStyle w:val="Table-Bullet1"/>
            </w:pPr>
            <w:r>
              <w:t>Program</w:t>
            </w:r>
            <w:r w:rsidRPr="002438A5">
              <w:t xml:space="preserve"> recreational</w:t>
            </w:r>
            <w:r w:rsidR="00936C19">
              <w:t xml:space="preserve"> </w:t>
            </w:r>
            <w:r w:rsidRPr="002438A5">
              <w:t>activities are</w:t>
            </w:r>
            <w:r w:rsidR="00AA1606">
              <w:t xml:space="preserve"> </w:t>
            </w:r>
            <w:r w:rsidRPr="002438A5">
              <w:t>coordinated with</w:t>
            </w:r>
            <w:r>
              <w:t xml:space="preserve"> </w:t>
            </w:r>
            <w:r w:rsidRPr="002438A5">
              <w:t>the school’s existing recreational offerings.</w:t>
            </w:r>
          </w:p>
        </w:tc>
        <w:tc>
          <w:tcPr>
            <w:tcW w:w="2737" w:type="dxa"/>
            <w:vAlign w:val="top"/>
          </w:tcPr>
          <w:p w14:paraId="6E36E5C9" w14:textId="77777777" w:rsidR="004B350F" w:rsidRPr="002438A5" w:rsidRDefault="004B350F" w:rsidP="00936C19">
            <w:pPr>
              <w:pStyle w:val="Table-Bullet1"/>
            </w:pPr>
            <w:r w:rsidRPr="002438A5">
              <w:t>School day staff inform</w:t>
            </w:r>
            <w:r>
              <w:t>s</w:t>
            </w:r>
            <w:r w:rsidRPr="002438A5">
              <w:t xml:space="preserve"> </w:t>
            </w:r>
            <w:r>
              <w:t>program</w:t>
            </w:r>
            <w:r w:rsidRPr="002438A5">
              <w:t xml:space="preserve"> staff about schedule</w:t>
            </w:r>
            <w:r>
              <w:t>,</w:t>
            </w:r>
            <w:r w:rsidRPr="002438A5">
              <w:t xml:space="preserve"> and </w:t>
            </w:r>
            <w:r>
              <w:t>program</w:t>
            </w:r>
            <w:r w:rsidRPr="002438A5">
              <w:t xml:space="preserve"> staff plan</w:t>
            </w:r>
            <w:r>
              <w:t>s</w:t>
            </w:r>
            <w:r w:rsidRPr="002438A5">
              <w:t xml:space="preserve"> activities to support and reinforce basic skills.</w:t>
            </w:r>
          </w:p>
        </w:tc>
        <w:tc>
          <w:tcPr>
            <w:tcW w:w="2384" w:type="dxa"/>
            <w:vAlign w:val="top"/>
          </w:tcPr>
          <w:p w14:paraId="4B1A4249" w14:textId="77777777" w:rsidR="004B350F" w:rsidRPr="002438A5" w:rsidRDefault="004B350F" w:rsidP="00936C19">
            <w:pPr>
              <w:pStyle w:val="Table-Bullet1"/>
            </w:pPr>
            <w:r>
              <w:t>Program</w:t>
            </w:r>
            <w:r w:rsidRPr="002438A5">
              <w:t xml:space="preserve"> and school staff</w:t>
            </w:r>
            <w:r>
              <w:t>s</w:t>
            </w:r>
            <w:r w:rsidRPr="002438A5">
              <w:t xml:space="preserve"> work together to plan recreational</w:t>
            </w:r>
            <w:r>
              <w:t xml:space="preserve"> </w:t>
            </w:r>
            <w:r w:rsidRPr="002438A5">
              <w:t>activities that support self-esteem, problem solving, character education, and other skills, in addition to physical development.</w:t>
            </w:r>
          </w:p>
        </w:tc>
      </w:tr>
      <w:tr w:rsidR="004B350F" w:rsidRPr="002438A5" w14:paraId="5512DA95" w14:textId="77777777" w:rsidTr="00DF3507">
        <w:trPr>
          <w:cantSplit/>
          <w:trHeight w:val="20"/>
        </w:trPr>
        <w:tc>
          <w:tcPr>
            <w:tcW w:w="2384" w:type="dxa"/>
            <w:vAlign w:val="top"/>
          </w:tcPr>
          <w:p w14:paraId="13188ED7" w14:textId="77777777" w:rsidR="004B350F" w:rsidRPr="00644D95" w:rsidRDefault="004B350F" w:rsidP="00DB248D">
            <w:pPr>
              <w:pStyle w:val="BodyText"/>
              <w:rPr>
                <w:rFonts w:eastAsia="Times New Roman" w:cstheme="minorHAnsi"/>
                <w:bCs/>
              </w:rPr>
            </w:pPr>
            <w:r w:rsidRPr="00644D95">
              <w:rPr>
                <w:rFonts w:eastAsia="Times New Roman" w:cstheme="minorHAnsi"/>
                <w:bCs/>
              </w:rPr>
              <w:t>Internal Communication and Feedback</w:t>
            </w:r>
          </w:p>
        </w:tc>
        <w:tc>
          <w:tcPr>
            <w:tcW w:w="2560" w:type="dxa"/>
            <w:vAlign w:val="top"/>
          </w:tcPr>
          <w:p w14:paraId="302C78E4" w14:textId="77777777" w:rsidR="004B350F" w:rsidRPr="002438A5" w:rsidRDefault="004B350F" w:rsidP="00936C19">
            <w:pPr>
              <w:pStyle w:val="Table-Bullet1"/>
            </w:pPr>
            <w:r>
              <w:t>Program</w:t>
            </w:r>
            <w:r w:rsidRPr="002438A5">
              <w:t xml:space="preserve"> activities are highlighted in school newsletters and other communication vehicles.</w:t>
            </w:r>
          </w:p>
          <w:p w14:paraId="352691CE" w14:textId="77777777" w:rsidR="004B350F" w:rsidRPr="002438A5" w:rsidRDefault="004B350F" w:rsidP="00936C19">
            <w:pPr>
              <w:pStyle w:val="Table-Bullet1"/>
            </w:pPr>
            <w:r>
              <w:t>P</w:t>
            </w:r>
            <w:r w:rsidRPr="002438A5">
              <w:t>rogram offerings are displayed on school bulletin boards.</w:t>
            </w:r>
          </w:p>
          <w:p w14:paraId="23B4508C" w14:textId="77777777" w:rsidR="004B350F" w:rsidRPr="002438A5" w:rsidRDefault="004B350F" w:rsidP="00936C19">
            <w:pPr>
              <w:pStyle w:val="Table-Bullet1"/>
            </w:pPr>
            <w:r w:rsidRPr="002438A5">
              <w:t>Presentations about the program are made at school staff meetings.</w:t>
            </w:r>
          </w:p>
        </w:tc>
        <w:tc>
          <w:tcPr>
            <w:tcW w:w="2737" w:type="dxa"/>
            <w:vAlign w:val="top"/>
          </w:tcPr>
          <w:p w14:paraId="5782D3FD" w14:textId="77777777" w:rsidR="004B350F" w:rsidRPr="002438A5" w:rsidRDefault="004B350F" w:rsidP="00936C19">
            <w:pPr>
              <w:pStyle w:val="Table-Bullet1"/>
            </w:pPr>
            <w:r>
              <w:t>Program</w:t>
            </w:r>
            <w:r w:rsidRPr="002438A5">
              <w:t xml:space="preserve"> staff </w:t>
            </w:r>
            <w:r>
              <w:t xml:space="preserve">members </w:t>
            </w:r>
            <w:r w:rsidRPr="002438A5">
              <w:t>participate in in-service trainings.</w:t>
            </w:r>
          </w:p>
          <w:p w14:paraId="510B758A" w14:textId="77777777" w:rsidR="004B350F" w:rsidRPr="002438A5" w:rsidRDefault="004B350F" w:rsidP="00936C19">
            <w:pPr>
              <w:pStyle w:val="Table-Bullet1"/>
            </w:pPr>
            <w:r w:rsidRPr="002438A5">
              <w:t xml:space="preserve">The </w:t>
            </w:r>
            <w:r>
              <w:t>program’s</w:t>
            </w:r>
            <w:r w:rsidRPr="002438A5">
              <w:t xml:space="preserve"> site-level leadership regularly checks in with </w:t>
            </w:r>
            <w:r>
              <w:t xml:space="preserve">the </w:t>
            </w:r>
            <w:r w:rsidRPr="002438A5">
              <w:t>school day staff about the program.</w:t>
            </w:r>
          </w:p>
        </w:tc>
        <w:tc>
          <w:tcPr>
            <w:tcW w:w="2384" w:type="dxa"/>
            <w:vAlign w:val="top"/>
          </w:tcPr>
          <w:p w14:paraId="3FA906CD" w14:textId="77777777" w:rsidR="004B350F" w:rsidRPr="002438A5" w:rsidRDefault="004B350F" w:rsidP="00936C19">
            <w:pPr>
              <w:pStyle w:val="Table-Bullet1"/>
            </w:pPr>
            <w:r w:rsidRPr="002438A5">
              <w:t xml:space="preserve">There are joint staff meetings for </w:t>
            </w:r>
            <w:r>
              <w:t>program</w:t>
            </w:r>
            <w:r w:rsidRPr="002438A5">
              <w:t xml:space="preserve"> and school day staff</w:t>
            </w:r>
            <w:r>
              <w:t xml:space="preserve"> members</w:t>
            </w:r>
            <w:r w:rsidRPr="002438A5">
              <w:t>.</w:t>
            </w:r>
          </w:p>
          <w:p w14:paraId="5276ADE1" w14:textId="77777777" w:rsidR="004B350F" w:rsidRPr="002438A5" w:rsidRDefault="004B350F" w:rsidP="00936C19">
            <w:pPr>
              <w:pStyle w:val="Table-Bullet1"/>
            </w:pPr>
            <w:r>
              <w:t>Program</w:t>
            </w:r>
            <w:r w:rsidRPr="002438A5">
              <w:t xml:space="preserve"> staff</w:t>
            </w:r>
            <w:r>
              <w:t xml:space="preserve"> members</w:t>
            </w:r>
            <w:r w:rsidRPr="002438A5">
              <w:t xml:space="preserve"> plan and present in-services for school day staff</w:t>
            </w:r>
            <w:r>
              <w:t xml:space="preserve"> members</w:t>
            </w:r>
            <w:r w:rsidRPr="002438A5">
              <w:t>.</w:t>
            </w:r>
          </w:p>
          <w:p w14:paraId="2DF96E8D" w14:textId="77777777" w:rsidR="004B350F" w:rsidRPr="002438A5" w:rsidRDefault="004B350F" w:rsidP="00936C19">
            <w:pPr>
              <w:pStyle w:val="Table-Bullet1"/>
            </w:pPr>
            <w:r w:rsidRPr="002438A5">
              <w:t>Joint planning of activities is ongoing.</w:t>
            </w:r>
          </w:p>
        </w:tc>
      </w:tr>
      <w:tr w:rsidR="004B350F" w:rsidRPr="002438A5" w14:paraId="299BEADE" w14:textId="77777777" w:rsidTr="00DF3507">
        <w:trPr>
          <w:cantSplit/>
          <w:trHeight w:val="20"/>
        </w:trPr>
        <w:tc>
          <w:tcPr>
            <w:tcW w:w="2384" w:type="dxa"/>
            <w:vAlign w:val="top"/>
          </w:tcPr>
          <w:p w14:paraId="4F586B48" w14:textId="77777777" w:rsidR="004B350F" w:rsidRPr="00644D95" w:rsidRDefault="004B350F" w:rsidP="00DB248D">
            <w:pPr>
              <w:pStyle w:val="BodyText"/>
              <w:rPr>
                <w:rFonts w:eastAsia="Times" w:cstheme="minorHAnsi"/>
              </w:rPr>
            </w:pPr>
            <w:r w:rsidRPr="00644D95">
              <w:rPr>
                <w:rFonts w:eastAsia="Times" w:cstheme="minorHAnsi"/>
              </w:rPr>
              <w:lastRenderedPageBreak/>
              <w:t>Family Involvement</w:t>
            </w:r>
          </w:p>
        </w:tc>
        <w:tc>
          <w:tcPr>
            <w:tcW w:w="2560" w:type="dxa"/>
            <w:vAlign w:val="top"/>
          </w:tcPr>
          <w:p w14:paraId="0E188B3E" w14:textId="77777777" w:rsidR="004B350F" w:rsidRPr="002438A5" w:rsidRDefault="004B350F" w:rsidP="00936C19">
            <w:pPr>
              <w:pStyle w:val="Table-Bullet1"/>
            </w:pPr>
            <w:r>
              <w:t>Program</w:t>
            </w:r>
            <w:r w:rsidRPr="002438A5">
              <w:t xml:space="preserve"> staff</w:t>
            </w:r>
            <w:r>
              <w:t xml:space="preserve"> members</w:t>
            </w:r>
            <w:r w:rsidRPr="002438A5">
              <w:t xml:space="preserve"> independently inform families about the program.</w:t>
            </w:r>
          </w:p>
          <w:p w14:paraId="5EA27415" w14:textId="77777777" w:rsidR="004B350F" w:rsidRPr="002438A5" w:rsidRDefault="004B350F" w:rsidP="00936C19">
            <w:pPr>
              <w:pStyle w:val="Table-Bullet1"/>
            </w:pPr>
            <w:r w:rsidRPr="002438A5">
              <w:t>Some family members may offer their help in the afterschool hours.</w:t>
            </w:r>
          </w:p>
        </w:tc>
        <w:tc>
          <w:tcPr>
            <w:tcW w:w="2737" w:type="dxa"/>
            <w:vAlign w:val="top"/>
          </w:tcPr>
          <w:p w14:paraId="194C2A10" w14:textId="77777777" w:rsidR="004B350F" w:rsidRPr="002438A5" w:rsidRDefault="004B350F" w:rsidP="00936C19">
            <w:pPr>
              <w:pStyle w:val="Table-Bullet1"/>
            </w:pPr>
            <w:r w:rsidRPr="002438A5">
              <w:t xml:space="preserve">School day staff </w:t>
            </w:r>
            <w:r>
              <w:t xml:space="preserve">members </w:t>
            </w:r>
            <w:r w:rsidRPr="002438A5">
              <w:t xml:space="preserve">share information about afterschool activities with family members. </w:t>
            </w:r>
          </w:p>
          <w:p w14:paraId="19F678E3" w14:textId="77777777" w:rsidR="004B350F" w:rsidRPr="002438A5" w:rsidRDefault="004B350F" w:rsidP="00936C19">
            <w:pPr>
              <w:pStyle w:val="Table-Bullet1"/>
            </w:pPr>
            <w:r w:rsidRPr="002438A5">
              <w:t xml:space="preserve">School day staff </w:t>
            </w:r>
            <w:r>
              <w:t xml:space="preserve">members </w:t>
            </w:r>
            <w:r w:rsidRPr="002438A5">
              <w:t>work with family members to recruit youth for the</w:t>
            </w:r>
            <w:r>
              <w:t xml:space="preserve"> </w:t>
            </w:r>
            <w:r w:rsidRPr="002438A5">
              <w:t>program.</w:t>
            </w:r>
          </w:p>
          <w:p w14:paraId="1F886479" w14:textId="77777777" w:rsidR="004B350F" w:rsidRPr="002438A5" w:rsidRDefault="004B350F" w:rsidP="00936C19">
            <w:pPr>
              <w:pStyle w:val="Table-Bullet1"/>
            </w:pPr>
            <w:r w:rsidRPr="002438A5">
              <w:t xml:space="preserve">The program offers opportunities for families to learn about school activities and expectations. </w:t>
            </w:r>
          </w:p>
        </w:tc>
        <w:tc>
          <w:tcPr>
            <w:tcW w:w="2384" w:type="dxa"/>
            <w:vAlign w:val="top"/>
          </w:tcPr>
          <w:p w14:paraId="4E833EC9" w14:textId="77777777" w:rsidR="004B350F" w:rsidRPr="002438A5" w:rsidRDefault="004B350F" w:rsidP="00936C19">
            <w:pPr>
              <w:pStyle w:val="Table-Bullet1"/>
            </w:pPr>
            <w:r w:rsidRPr="002438A5">
              <w:t xml:space="preserve">Afterschool </w:t>
            </w:r>
            <w:r>
              <w:t xml:space="preserve">and expanded learning </w:t>
            </w:r>
            <w:r w:rsidRPr="002438A5">
              <w:t xml:space="preserve">staff </w:t>
            </w:r>
            <w:r>
              <w:t xml:space="preserve">members </w:t>
            </w:r>
            <w:r w:rsidRPr="002438A5">
              <w:t>attend and participate in</w:t>
            </w:r>
            <w:r>
              <w:t xml:space="preserve"> c</w:t>
            </w:r>
            <w:r w:rsidRPr="002438A5">
              <w:t>onferences/IEP meetings.</w:t>
            </w:r>
          </w:p>
          <w:p w14:paraId="1C0C9424" w14:textId="77777777" w:rsidR="004B350F" w:rsidRPr="002438A5" w:rsidRDefault="004B350F" w:rsidP="00936C19">
            <w:pPr>
              <w:pStyle w:val="Table-Bullet1"/>
              <w:rPr>
                <w:b/>
              </w:rPr>
            </w:pPr>
            <w:r w:rsidRPr="002438A5">
              <w:t xml:space="preserve">School and </w:t>
            </w:r>
            <w:r>
              <w:t>program</w:t>
            </w:r>
            <w:r w:rsidRPr="002438A5">
              <w:t xml:space="preserve"> staff</w:t>
            </w:r>
            <w:r>
              <w:t xml:space="preserve"> members</w:t>
            </w:r>
            <w:r w:rsidRPr="002438A5">
              <w:t xml:space="preserve"> share information about family needs in order to better support students. </w:t>
            </w:r>
          </w:p>
        </w:tc>
      </w:tr>
      <w:tr w:rsidR="004B350F" w:rsidRPr="002438A5" w14:paraId="03D15D25" w14:textId="77777777" w:rsidTr="00DF3507">
        <w:trPr>
          <w:cantSplit/>
          <w:trHeight w:val="20"/>
        </w:trPr>
        <w:tc>
          <w:tcPr>
            <w:tcW w:w="2384" w:type="dxa"/>
            <w:vAlign w:val="top"/>
          </w:tcPr>
          <w:p w14:paraId="5D8E0C8E" w14:textId="77777777" w:rsidR="004B350F" w:rsidRPr="00644D95" w:rsidRDefault="004B350F" w:rsidP="00DB248D">
            <w:pPr>
              <w:pStyle w:val="BodyText"/>
              <w:rPr>
                <w:rFonts w:eastAsia="Times" w:cstheme="minorHAnsi"/>
              </w:rPr>
            </w:pPr>
            <w:r w:rsidRPr="00644D95">
              <w:rPr>
                <w:rFonts w:eastAsia="Times" w:cstheme="minorHAnsi"/>
              </w:rPr>
              <w:t>Logistics</w:t>
            </w:r>
          </w:p>
        </w:tc>
        <w:tc>
          <w:tcPr>
            <w:tcW w:w="2560" w:type="dxa"/>
            <w:vAlign w:val="top"/>
          </w:tcPr>
          <w:p w14:paraId="2D848F7C" w14:textId="77777777" w:rsidR="004B350F" w:rsidRPr="002438A5" w:rsidRDefault="004B350F" w:rsidP="00936C19">
            <w:pPr>
              <w:pStyle w:val="Table-Bullet1"/>
            </w:pPr>
            <w:r w:rsidRPr="002438A5">
              <w:t>The program is limited to one or two areas of the school</w:t>
            </w:r>
            <w:r>
              <w:t>—</w:t>
            </w:r>
            <w:r w:rsidRPr="002438A5">
              <w:t>usually the gym or library media center.</w:t>
            </w:r>
          </w:p>
          <w:p w14:paraId="5181511A" w14:textId="77777777" w:rsidR="004B350F" w:rsidRPr="002438A5" w:rsidRDefault="004B350F" w:rsidP="00936C19">
            <w:pPr>
              <w:pStyle w:val="Table-Bullet1"/>
            </w:pPr>
            <w:r w:rsidRPr="002438A5">
              <w:t>The program is coordinated with custodial and security staff.</w:t>
            </w:r>
          </w:p>
        </w:tc>
        <w:tc>
          <w:tcPr>
            <w:tcW w:w="2737" w:type="dxa"/>
            <w:vAlign w:val="top"/>
          </w:tcPr>
          <w:p w14:paraId="6911301A" w14:textId="77777777" w:rsidR="004B350F" w:rsidRPr="002438A5" w:rsidRDefault="004B350F" w:rsidP="00936C19">
            <w:pPr>
              <w:pStyle w:val="Table-Bullet1"/>
            </w:pPr>
            <w:r w:rsidRPr="002438A5">
              <w:t>The program has access to several areas of the school, including classroom space.</w:t>
            </w:r>
          </w:p>
          <w:p w14:paraId="536F5798" w14:textId="77777777" w:rsidR="004B350F" w:rsidRPr="002438A5" w:rsidRDefault="004B350F" w:rsidP="00936C19">
            <w:pPr>
              <w:pStyle w:val="Table-Bullet1"/>
            </w:pPr>
            <w:r w:rsidRPr="002438A5">
              <w:t>Space is designated for a</w:t>
            </w:r>
            <w:r>
              <w:t xml:space="preserve"> program </w:t>
            </w:r>
            <w:r w:rsidRPr="002438A5">
              <w:t xml:space="preserve">staff office. </w:t>
            </w:r>
          </w:p>
          <w:p w14:paraId="71804F9D" w14:textId="77777777" w:rsidR="004B350F" w:rsidRPr="002438A5" w:rsidRDefault="004B350F" w:rsidP="00936C19">
            <w:pPr>
              <w:pStyle w:val="Table-Bullet1"/>
            </w:pPr>
            <w:r w:rsidRPr="002438A5">
              <w:t>The program is responsible for its own transportation.</w:t>
            </w:r>
          </w:p>
        </w:tc>
        <w:tc>
          <w:tcPr>
            <w:tcW w:w="2384" w:type="dxa"/>
            <w:vAlign w:val="top"/>
          </w:tcPr>
          <w:p w14:paraId="627B1B5E" w14:textId="77777777" w:rsidR="004B350F" w:rsidRPr="002438A5" w:rsidRDefault="004B350F" w:rsidP="00936C19">
            <w:pPr>
              <w:pStyle w:val="Table-Bullet1"/>
            </w:pPr>
            <w:r w:rsidRPr="002438A5">
              <w:t xml:space="preserve">Staff </w:t>
            </w:r>
            <w:r>
              <w:t>members from</w:t>
            </w:r>
            <w:r w:rsidRPr="002438A5">
              <w:t xml:space="preserve"> the </w:t>
            </w:r>
            <w:r>
              <w:t>program</w:t>
            </w:r>
            <w:r w:rsidRPr="002438A5">
              <w:t xml:space="preserve"> and school day plan for use of school building together. </w:t>
            </w:r>
          </w:p>
          <w:p w14:paraId="27D5BD31" w14:textId="77777777" w:rsidR="004B350F" w:rsidRPr="002438A5" w:rsidRDefault="004B350F" w:rsidP="00936C19">
            <w:pPr>
              <w:pStyle w:val="Table-Bullet1"/>
            </w:pPr>
            <w:r w:rsidRPr="002438A5">
              <w:t xml:space="preserve">No space in the school is off-limits for the program. </w:t>
            </w:r>
          </w:p>
          <w:p w14:paraId="4DC7C4AF" w14:textId="77777777" w:rsidR="004B350F" w:rsidRPr="002438A5" w:rsidRDefault="004B350F" w:rsidP="00936C19">
            <w:pPr>
              <w:pStyle w:val="Table-Bullet1"/>
            </w:pPr>
            <w:r w:rsidRPr="002438A5">
              <w:t>Transportation is considered as an area for cooperation.</w:t>
            </w:r>
          </w:p>
        </w:tc>
      </w:tr>
    </w:tbl>
    <w:p w14:paraId="11EF19AE" w14:textId="77777777" w:rsidR="00DF3507" w:rsidRDefault="00DF3507" w:rsidP="00DF3507">
      <w:pPr>
        <w:pStyle w:val="BodyText"/>
        <w:rPr>
          <w:b/>
        </w:rPr>
      </w:pPr>
    </w:p>
    <w:p w14:paraId="1CB8D565" w14:textId="77777777" w:rsidR="00DF3507" w:rsidRDefault="00DF3507">
      <w:pPr>
        <w:spacing w:after="200"/>
        <w:rPr>
          <w:b/>
        </w:rPr>
      </w:pPr>
      <w:r>
        <w:rPr>
          <w:b/>
        </w:rPr>
        <w:br w:type="page"/>
      </w:r>
    </w:p>
    <w:p w14:paraId="79DF4B78" w14:textId="0A82130E" w:rsidR="00DF3507" w:rsidRPr="002438A5" w:rsidRDefault="00DF3507" w:rsidP="00936C19">
      <w:pPr>
        <w:pStyle w:val="Body-AllItalic"/>
      </w:pPr>
      <w:r w:rsidRPr="002438A5">
        <w:rPr>
          <w:b/>
        </w:rPr>
        <w:lastRenderedPageBreak/>
        <w:t>Directions</w:t>
      </w:r>
      <w:r w:rsidRPr="00452744">
        <w:rPr>
          <w:b/>
        </w:rPr>
        <w:t>:</w:t>
      </w:r>
      <w:r w:rsidRPr="002438A5">
        <w:t xml:space="preserve"> After reviewing the matrix </w:t>
      </w:r>
      <w:r w:rsidR="007E1765">
        <w:t>on the previous pages</w:t>
      </w:r>
      <w:bookmarkStart w:id="0" w:name="_GoBack"/>
      <w:bookmarkEnd w:id="0"/>
      <w:r w:rsidRPr="002438A5">
        <w:t xml:space="preserve">, use the table below to identify where you </w:t>
      </w:r>
      <w:r>
        <w:t>currently fit on</w:t>
      </w:r>
      <w:r w:rsidRPr="002438A5">
        <w:t xml:space="preserve"> the continuum (beginning, intermediate, advanced), the specific things your program is doing in each area, and steps you can take to move your program to the next level.</w:t>
      </w:r>
      <w:r>
        <w:t xml:space="preserve"> </w:t>
      </w:r>
      <w:r w:rsidRPr="002438A5">
        <w:t>It might be a good idea to complete this tool in partnership with school staff</w:t>
      </w:r>
      <w:r>
        <w:t xml:space="preserve"> members</w:t>
      </w:r>
      <w:r w:rsidRPr="002438A5">
        <w:t xml:space="preserve"> as a way to discuss alignment and next steps.</w:t>
      </w:r>
      <w:r>
        <w:t xml:space="preserve"> </w:t>
      </w:r>
      <w:r w:rsidRPr="002438A5">
        <w:t>If you are in the very early stages of collaboration, complete the form without school input at first and bring them on board slowly.</w:t>
      </w:r>
      <w:r>
        <w:t xml:space="preserve"> </w:t>
      </w:r>
      <w:r w:rsidRPr="002438A5">
        <w:t>Your advisory board and other key stakeholders may also be important contributors to this conversation.</w:t>
      </w:r>
    </w:p>
    <w:p w14:paraId="065F3B40" w14:textId="77777777" w:rsidR="00DF3507" w:rsidRPr="00737421" w:rsidRDefault="00DF3507" w:rsidP="00DF3507">
      <w:pPr>
        <w:pStyle w:val="BodyText"/>
      </w:pPr>
    </w:p>
    <w:tbl>
      <w:tblPr>
        <w:tblStyle w:val="Table-FillIn"/>
        <w:tblW w:w="5000" w:type="pct"/>
        <w:tblLook w:val="04A0" w:firstRow="1" w:lastRow="0" w:firstColumn="1" w:lastColumn="0" w:noHBand="0" w:noVBand="1"/>
      </w:tblPr>
      <w:tblGrid>
        <w:gridCol w:w="2384"/>
        <w:gridCol w:w="2560"/>
        <w:gridCol w:w="2737"/>
        <w:gridCol w:w="2384"/>
      </w:tblGrid>
      <w:tr w:rsidR="00DF3507" w:rsidRPr="002438A5" w14:paraId="2E619CAC" w14:textId="77777777" w:rsidTr="00DF3507">
        <w:trPr>
          <w:cnfStyle w:val="100000000000" w:firstRow="1" w:lastRow="0" w:firstColumn="0" w:lastColumn="0" w:oddVBand="0" w:evenVBand="0" w:oddHBand="0" w:evenHBand="0" w:firstRowFirstColumn="0" w:firstRowLastColumn="0" w:lastRowFirstColumn="0" w:lastRowLastColumn="0"/>
        </w:trPr>
        <w:tc>
          <w:tcPr>
            <w:tcW w:w="2384" w:type="dxa"/>
            <w:tcBorders>
              <w:bottom w:val="single" w:sz="4" w:space="0" w:color="auto"/>
              <w:right w:val="single" w:sz="4" w:space="0" w:color="FFFFFF" w:themeColor="background1"/>
            </w:tcBorders>
          </w:tcPr>
          <w:p w14:paraId="0E70B515" w14:textId="77777777" w:rsidR="00DF3507" w:rsidRPr="002438A5" w:rsidRDefault="00DF3507" w:rsidP="002F173C">
            <w:pPr>
              <w:pStyle w:val="TableHeader"/>
            </w:pPr>
            <w:r w:rsidRPr="002438A5">
              <w:t>Characteristic</w:t>
            </w:r>
          </w:p>
        </w:tc>
        <w:tc>
          <w:tcPr>
            <w:tcW w:w="2560" w:type="dxa"/>
            <w:tcBorders>
              <w:left w:val="single" w:sz="4" w:space="0" w:color="FFFFFF" w:themeColor="background1"/>
              <w:right w:val="single" w:sz="4" w:space="0" w:color="FFFFFF" w:themeColor="background1"/>
            </w:tcBorders>
          </w:tcPr>
          <w:p w14:paraId="14DFAE43" w14:textId="77777777" w:rsidR="00DF3507" w:rsidRPr="002438A5" w:rsidRDefault="00DD56ED" w:rsidP="002F173C">
            <w:pPr>
              <w:pStyle w:val="TableHeader"/>
            </w:pPr>
            <w:r>
              <w:t>Current Level</w:t>
            </w:r>
          </w:p>
        </w:tc>
        <w:tc>
          <w:tcPr>
            <w:tcW w:w="2737" w:type="dxa"/>
            <w:tcBorders>
              <w:left w:val="single" w:sz="4" w:space="0" w:color="FFFFFF" w:themeColor="background1"/>
              <w:right w:val="single" w:sz="4" w:space="0" w:color="FFFFFF" w:themeColor="background1"/>
            </w:tcBorders>
          </w:tcPr>
          <w:p w14:paraId="642D0CB1" w14:textId="77777777" w:rsidR="00DF3507" w:rsidRPr="002438A5" w:rsidRDefault="00DD56ED" w:rsidP="002F173C">
            <w:pPr>
              <w:pStyle w:val="TableHeader"/>
            </w:pPr>
            <w:r>
              <w:t>What Your Program Is Doing</w:t>
            </w:r>
          </w:p>
        </w:tc>
        <w:tc>
          <w:tcPr>
            <w:tcW w:w="2384" w:type="dxa"/>
            <w:tcBorders>
              <w:left w:val="single" w:sz="4" w:space="0" w:color="FFFFFF" w:themeColor="background1"/>
            </w:tcBorders>
          </w:tcPr>
          <w:p w14:paraId="2F4CBFAA" w14:textId="77777777" w:rsidR="00DF3507" w:rsidRPr="002438A5" w:rsidRDefault="00DD56ED" w:rsidP="00910343">
            <w:pPr>
              <w:pStyle w:val="TableHeader"/>
            </w:pPr>
            <w:r>
              <w:t xml:space="preserve">Steps for Enhancing </w:t>
            </w:r>
            <w:r w:rsidR="00DF3507">
              <w:t>A</w:t>
            </w:r>
            <w:r w:rsidR="00DF3507" w:rsidRPr="002438A5">
              <w:t>lignment</w:t>
            </w:r>
          </w:p>
        </w:tc>
      </w:tr>
      <w:tr w:rsidR="00DF3507" w:rsidRPr="002438A5" w14:paraId="18F858EA" w14:textId="77777777" w:rsidTr="00DF3507">
        <w:trPr>
          <w:trHeight w:hRule="exact" w:val="1080"/>
        </w:trPr>
        <w:tc>
          <w:tcPr>
            <w:tcW w:w="2384" w:type="dxa"/>
            <w:shd w:val="clear" w:color="auto" w:fill="E6E6E6"/>
          </w:tcPr>
          <w:p w14:paraId="71C449FF" w14:textId="77777777" w:rsidR="00DF3507" w:rsidRPr="00936C19" w:rsidRDefault="00DF3507" w:rsidP="002F173C">
            <w:pPr>
              <w:pStyle w:val="BodyText"/>
              <w:rPr>
                <w:rFonts w:eastAsia="Times" w:cstheme="minorHAnsi"/>
              </w:rPr>
            </w:pPr>
            <w:r w:rsidRPr="00936C19">
              <w:rPr>
                <w:rFonts w:eastAsia="Times" w:cstheme="minorHAnsi"/>
              </w:rPr>
              <w:t>Curriculum</w:t>
            </w:r>
          </w:p>
        </w:tc>
        <w:tc>
          <w:tcPr>
            <w:tcW w:w="2560" w:type="dxa"/>
          </w:tcPr>
          <w:p w14:paraId="1257C1D6" w14:textId="77777777" w:rsidR="00DF3507" w:rsidRPr="004B350F" w:rsidRDefault="00DF3507" w:rsidP="002F173C">
            <w:pPr>
              <w:pStyle w:val="Table-TextFL"/>
            </w:pPr>
          </w:p>
        </w:tc>
        <w:tc>
          <w:tcPr>
            <w:tcW w:w="2737" w:type="dxa"/>
          </w:tcPr>
          <w:p w14:paraId="4BB3EE81" w14:textId="77777777" w:rsidR="00DF3507" w:rsidRPr="002438A5" w:rsidRDefault="00DF3507" w:rsidP="002F173C">
            <w:pPr>
              <w:pStyle w:val="Table-TextFL"/>
            </w:pPr>
          </w:p>
        </w:tc>
        <w:tc>
          <w:tcPr>
            <w:tcW w:w="2384" w:type="dxa"/>
          </w:tcPr>
          <w:p w14:paraId="50D1BACE" w14:textId="77777777" w:rsidR="00DF3507" w:rsidRPr="002438A5" w:rsidRDefault="00DF3507" w:rsidP="002F173C">
            <w:pPr>
              <w:pStyle w:val="Table-TextFL"/>
            </w:pPr>
          </w:p>
        </w:tc>
      </w:tr>
      <w:tr w:rsidR="00DF3507" w:rsidRPr="002438A5" w14:paraId="3C8BCB64" w14:textId="77777777" w:rsidTr="00DF3507">
        <w:trPr>
          <w:trHeight w:hRule="exact" w:val="1080"/>
        </w:trPr>
        <w:tc>
          <w:tcPr>
            <w:tcW w:w="2384" w:type="dxa"/>
            <w:shd w:val="clear" w:color="auto" w:fill="E6E6E6"/>
          </w:tcPr>
          <w:p w14:paraId="0A77C7F4" w14:textId="77777777" w:rsidR="00DF3507" w:rsidRPr="00936C19" w:rsidRDefault="00DF3507" w:rsidP="002F173C">
            <w:pPr>
              <w:pStyle w:val="BodyText"/>
              <w:rPr>
                <w:rFonts w:eastAsia="Times" w:cstheme="minorHAnsi"/>
              </w:rPr>
            </w:pPr>
            <w:r w:rsidRPr="00936C19">
              <w:rPr>
                <w:rFonts w:eastAsia="Times" w:cstheme="minorHAnsi"/>
              </w:rPr>
              <w:t>Recruitment of Young People</w:t>
            </w:r>
          </w:p>
        </w:tc>
        <w:tc>
          <w:tcPr>
            <w:tcW w:w="2560" w:type="dxa"/>
          </w:tcPr>
          <w:p w14:paraId="303E7EEF" w14:textId="77777777" w:rsidR="00DF3507" w:rsidRPr="002438A5" w:rsidRDefault="00DF3507" w:rsidP="002F173C">
            <w:pPr>
              <w:pStyle w:val="Table-TextFL"/>
            </w:pPr>
          </w:p>
        </w:tc>
        <w:tc>
          <w:tcPr>
            <w:tcW w:w="2737" w:type="dxa"/>
          </w:tcPr>
          <w:p w14:paraId="68985F81" w14:textId="77777777" w:rsidR="00DF3507" w:rsidRPr="002438A5" w:rsidRDefault="00DF3507" w:rsidP="002F173C">
            <w:pPr>
              <w:pStyle w:val="Table-TextFL"/>
            </w:pPr>
          </w:p>
        </w:tc>
        <w:tc>
          <w:tcPr>
            <w:tcW w:w="2384" w:type="dxa"/>
          </w:tcPr>
          <w:p w14:paraId="3894B90C" w14:textId="77777777" w:rsidR="00DF3507" w:rsidRPr="002438A5" w:rsidRDefault="00DF3507" w:rsidP="002F173C">
            <w:pPr>
              <w:pStyle w:val="Table-TextFL"/>
            </w:pPr>
          </w:p>
        </w:tc>
      </w:tr>
      <w:tr w:rsidR="00DF3507" w:rsidRPr="002438A5" w14:paraId="633031F5" w14:textId="77777777" w:rsidTr="00DF3507">
        <w:trPr>
          <w:trHeight w:hRule="exact" w:val="1080"/>
        </w:trPr>
        <w:tc>
          <w:tcPr>
            <w:tcW w:w="2384" w:type="dxa"/>
            <w:shd w:val="clear" w:color="auto" w:fill="E6E6E6"/>
          </w:tcPr>
          <w:p w14:paraId="5A06807C" w14:textId="77777777" w:rsidR="00DF3507" w:rsidRPr="00936C19" w:rsidRDefault="00DF3507" w:rsidP="002F173C">
            <w:pPr>
              <w:pStyle w:val="BodyText"/>
              <w:rPr>
                <w:rFonts w:eastAsia="Times New Roman" w:cstheme="minorHAnsi"/>
                <w:bCs/>
              </w:rPr>
            </w:pPr>
            <w:r w:rsidRPr="00936C19">
              <w:rPr>
                <w:rFonts w:eastAsia="Times New Roman" w:cstheme="minorHAnsi"/>
                <w:bCs/>
              </w:rPr>
              <w:t xml:space="preserve">Tutoring Program and Homework Help </w:t>
            </w:r>
          </w:p>
        </w:tc>
        <w:tc>
          <w:tcPr>
            <w:tcW w:w="2560" w:type="dxa"/>
          </w:tcPr>
          <w:p w14:paraId="467C07FD" w14:textId="77777777" w:rsidR="00DF3507" w:rsidRPr="002438A5" w:rsidRDefault="00DF3507" w:rsidP="002F173C">
            <w:pPr>
              <w:pStyle w:val="Table-TextFL"/>
            </w:pPr>
          </w:p>
        </w:tc>
        <w:tc>
          <w:tcPr>
            <w:tcW w:w="2737" w:type="dxa"/>
          </w:tcPr>
          <w:p w14:paraId="1F4B40D1" w14:textId="77777777" w:rsidR="00DF3507" w:rsidRPr="002438A5" w:rsidRDefault="00DF3507" w:rsidP="002F173C">
            <w:pPr>
              <w:pStyle w:val="Table-TextFL"/>
            </w:pPr>
          </w:p>
        </w:tc>
        <w:tc>
          <w:tcPr>
            <w:tcW w:w="2384" w:type="dxa"/>
          </w:tcPr>
          <w:p w14:paraId="2502457A" w14:textId="77777777" w:rsidR="00DF3507" w:rsidRPr="002438A5" w:rsidRDefault="00DF3507" w:rsidP="002F173C">
            <w:pPr>
              <w:pStyle w:val="Table-TextFL"/>
            </w:pPr>
          </w:p>
        </w:tc>
      </w:tr>
      <w:tr w:rsidR="00DF3507" w:rsidRPr="002438A5" w14:paraId="3F073F76" w14:textId="77777777" w:rsidTr="00DF3507">
        <w:trPr>
          <w:trHeight w:hRule="exact" w:val="1080"/>
        </w:trPr>
        <w:tc>
          <w:tcPr>
            <w:tcW w:w="2384" w:type="dxa"/>
            <w:shd w:val="clear" w:color="auto" w:fill="E6E6E6"/>
          </w:tcPr>
          <w:p w14:paraId="4AF97FA3" w14:textId="77777777" w:rsidR="00DF3507" w:rsidRPr="00936C19" w:rsidRDefault="00DF3507" w:rsidP="002F173C">
            <w:pPr>
              <w:pStyle w:val="BodyText"/>
              <w:rPr>
                <w:rFonts w:eastAsia="Times" w:cstheme="minorHAnsi"/>
              </w:rPr>
            </w:pPr>
            <w:r w:rsidRPr="00936C19">
              <w:rPr>
                <w:rFonts w:eastAsia="Times" w:cstheme="minorHAnsi"/>
              </w:rPr>
              <w:t>Recreational Activities</w:t>
            </w:r>
          </w:p>
        </w:tc>
        <w:tc>
          <w:tcPr>
            <w:tcW w:w="2560" w:type="dxa"/>
          </w:tcPr>
          <w:p w14:paraId="60A25ED0" w14:textId="77777777" w:rsidR="00DF3507" w:rsidRPr="002438A5" w:rsidRDefault="00DF3507" w:rsidP="002F173C">
            <w:pPr>
              <w:pStyle w:val="Table-TextFL"/>
            </w:pPr>
          </w:p>
        </w:tc>
        <w:tc>
          <w:tcPr>
            <w:tcW w:w="2737" w:type="dxa"/>
          </w:tcPr>
          <w:p w14:paraId="501C4028" w14:textId="77777777" w:rsidR="00DF3507" w:rsidRPr="002438A5" w:rsidRDefault="00DF3507" w:rsidP="002F173C">
            <w:pPr>
              <w:pStyle w:val="Table-TextFL"/>
            </w:pPr>
          </w:p>
        </w:tc>
        <w:tc>
          <w:tcPr>
            <w:tcW w:w="2384" w:type="dxa"/>
          </w:tcPr>
          <w:p w14:paraId="66D61C44" w14:textId="77777777" w:rsidR="00DF3507" w:rsidRPr="002438A5" w:rsidRDefault="00DF3507" w:rsidP="002F173C">
            <w:pPr>
              <w:pStyle w:val="Table-TextFL"/>
            </w:pPr>
          </w:p>
        </w:tc>
      </w:tr>
      <w:tr w:rsidR="00DF3507" w:rsidRPr="002438A5" w14:paraId="081AA18F" w14:textId="77777777" w:rsidTr="00DF3507">
        <w:trPr>
          <w:trHeight w:hRule="exact" w:val="1080"/>
        </w:trPr>
        <w:tc>
          <w:tcPr>
            <w:tcW w:w="2384" w:type="dxa"/>
            <w:shd w:val="clear" w:color="auto" w:fill="E6E6E6"/>
          </w:tcPr>
          <w:p w14:paraId="141A54C8" w14:textId="77777777" w:rsidR="00DF3507" w:rsidRPr="00936C19" w:rsidRDefault="00DF3507" w:rsidP="002F173C">
            <w:pPr>
              <w:pStyle w:val="BodyText"/>
              <w:rPr>
                <w:rFonts w:eastAsia="Times New Roman" w:cstheme="minorHAnsi"/>
                <w:bCs/>
              </w:rPr>
            </w:pPr>
            <w:r w:rsidRPr="00936C19">
              <w:rPr>
                <w:rFonts w:eastAsia="Times New Roman" w:cstheme="minorHAnsi"/>
                <w:bCs/>
              </w:rPr>
              <w:t>Internal Communication and Feedback</w:t>
            </w:r>
          </w:p>
        </w:tc>
        <w:tc>
          <w:tcPr>
            <w:tcW w:w="2560" w:type="dxa"/>
          </w:tcPr>
          <w:p w14:paraId="51333800" w14:textId="77777777" w:rsidR="00DF3507" w:rsidRPr="002438A5" w:rsidRDefault="00DF3507" w:rsidP="002F173C">
            <w:pPr>
              <w:pStyle w:val="Table-TextFL"/>
            </w:pPr>
          </w:p>
        </w:tc>
        <w:tc>
          <w:tcPr>
            <w:tcW w:w="2737" w:type="dxa"/>
          </w:tcPr>
          <w:p w14:paraId="34F82C72" w14:textId="77777777" w:rsidR="00DF3507" w:rsidRPr="002438A5" w:rsidRDefault="00DF3507" w:rsidP="002F173C">
            <w:pPr>
              <w:pStyle w:val="Table-TextFL"/>
            </w:pPr>
          </w:p>
        </w:tc>
        <w:tc>
          <w:tcPr>
            <w:tcW w:w="2384" w:type="dxa"/>
          </w:tcPr>
          <w:p w14:paraId="2FCDE017" w14:textId="77777777" w:rsidR="00DF3507" w:rsidRPr="002438A5" w:rsidRDefault="00DF3507" w:rsidP="002F173C">
            <w:pPr>
              <w:pStyle w:val="Table-TextFL"/>
            </w:pPr>
          </w:p>
        </w:tc>
      </w:tr>
      <w:tr w:rsidR="00DF3507" w:rsidRPr="002438A5" w14:paraId="097E36C5" w14:textId="77777777" w:rsidTr="00DF3507">
        <w:trPr>
          <w:trHeight w:hRule="exact" w:val="1080"/>
        </w:trPr>
        <w:tc>
          <w:tcPr>
            <w:tcW w:w="2384" w:type="dxa"/>
            <w:shd w:val="clear" w:color="auto" w:fill="E6E6E6"/>
          </w:tcPr>
          <w:p w14:paraId="00B49E34" w14:textId="77777777" w:rsidR="00DF3507" w:rsidRPr="00936C19" w:rsidRDefault="00DF3507" w:rsidP="002F173C">
            <w:pPr>
              <w:pStyle w:val="BodyText"/>
              <w:rPr>
                <w:rFonts w:eastAsia="Times" w:cstheme="minorHAnsi"/>
              </w:rPr>
            </w:pPr>
            <w:r w:rsidRPr="00936C19">
              <w:rPr>
                <w:rFonts w:eastAsia="Times" w:cstheme="minorHAnsi"/>
              </w:rPr>
              <w:t>Family Involvement</w:t>
            </w:r>
          </w:p>
        </w:tc>
        <w:tc>
          <w:tcPr>
            <w:tcW w:w="2560" w:type="dxa"/>
          </w:tcPr>
          <w:p w14:paraId="2C25EDA9" w14:textId="77777777" w:rsidR="00DF3507" w:rsidRPr="002438A5" w:rsidRDefault="00DF3507" w:rsidP="002F173C">
            <w:pPr>
              <w:pStyle w:val="Table-TextFL"/>
            </w:pPr>
          </w:p>
        </w:tc>
        <w:tc>
          <w:tcPr>
            <w:tcW w:w="2737" w:type="dxa"/>
          </w:tcPr>
          <w:p w14:paraId="461B2BC9" w14:textId="77777777" w:rsidR="00DF3507" w:rsidRPr="002438A5" w:rsidRDefault="00DF3507" w:rsidP="002F173C">
            <w:pPr>
              <w:pStyle w:val="Table-TextFL"/>
            </w:pPr>
          </w:p>
        </w:tc>
        <w:tc>
          <w:tcPr>
            <w:tcW w:w="2384" w:type="dxa"/>
          </w:tcPr>
          <w:p w14:paraId="1B6B96A0" w14:textId="77777777" w:rsidR="00DF3507" w:rsidRPr="002438A5" w:rsidRDefault="00DF3507" w:rsidP="002F173C">
            <w:pPr>
              <w:pStyle w:val="Table-TextFL"/>
              <w:rPr>
                <w:b/>
              </w:rPr>
            </w:pPr>
          </w:p>
        </w:tc>
      </w:tr>
      <w:tr w:rsidR="00DF3507" w:rsidRPr="002438A5" w14:paraId="2F605BA3" w14:textId="77777777" w:rsidTr="00DF3507">
        <w:trPr>
          <w:trHeight w:hRule="exact" w:val="1080"/>
        </w:trPr>
        <w:tc>
          <w:tcPr>
            <w:tcW w:w="2384" w:type="dxa"/>
            <w:shd w:val="clear" w:color="auto" w:fill="E6E6E6"/>
          </w:tcPr>
          <w:p w14:paraId="4A07D159" w14:textId="77777777" w:rsidR="00DF3507" w:rsidRPr="00936C19" w:rsidRDefault="00DF3507" w:rsidP="002F173C">
            <w:pPr>
              <w:pStyle w:val="BodyText"/>
              <w:rPr>
                <w:rFonts w:eastAsia="Times" w:cstheme="minorHAnsi"/>
              </w:rPr>
            </w:pPr>
            <w:r w:rsidRPr="00936C19">
              <w:rPr>
                <w:rFonts w:eastAsia="Times" w:cstheme="minorHAnsi"/>
              </w:rPr>
              <w:t>Logistics</w:t>
            </w:r>
          </w:p>
        </w:tc>
        <w:tc>
          <w:tcPr>
            <w:tcW w:w="2560" w:type="dxa"/>
          </w:tcPr>
          <w:p w14:paraId="28F71C80" w14:textId="77777777" w:rsidR="00DF3507" w:rsidRPr="002438A5" w:rsidRDefault="00DF3507" w:rsidP="002F173C">
            <w:pPr>
              <w:pStyle w:val="Table-TextFL"/>
            </w:pPr>
          </w:p>
        </w:tc>
        <w:tc>
          <w:tcPr>
            <w:tcW w:w="2737" w:type="dxa"/>
          </w:tcPr>
          <w:p w14:paraId="2B0D13D2" w14:textId="77777777" w:rsidR="00DF3507" w:rsidRPr="002438A5" w:rsidRDefault="00DF3507" w:rsidP="002F173C">
            <w:pPr>
              <w:pStyle w:val="Table-TextFL"/>
            </w:pPr>
          </w:p>
        </w:tc>
        <w:tc>
          <w:tcPr>
            <w:tcW w:w="2384" w:type="dxa"/>
          </w:tcPr>
          <w:p w14:paraId="2FBE3768" w14:textId="77777777" w:rsidR="00DF3507" w:rsidRPr="002438A5" w:rsidRDefault="00DF3507" w:rsidP="002F173C">
            <w:pPr>
              <w:pStyle w:val="Table-TextFL"/>
            </w:pPr>
          </w:p>
        </w:tc>
      </w:tr>
    </w:tbl>
    <w:p w14:paraId="1EA8414D" w14:textId="77777777" w:rsidR="00B80843" w:rsidRDefault="00B80843" w:rsidP="00DF3507">
      <w:pPr>
        <w:pStyle w:val="BodyText"/>
      </w:pPr>
    </w:p>
    <w:p w14:paraId="37DDEC95" w14:textId="77777777" w:rsidR="00DF3507" w:rsidRDefault="00DF3507" w:rsidP="00DF3507">
      <w:pPr>
        <w:pStyle w:val="BodyText"/>
      </w:pPr>
    </w:p>
    <w:sectPr w:rsidR="00DF3507" w:rsidSect="005A669C">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BE14F" w14:textId="77777777" w:rsidR="00A806D3" w:rsidRDefault="00A806D3" w:rsidP="0078684C">
      <w:r>
        <w:separator/>
      </w:r>
    </w:p>
  </w:endnote>
  <w:endnote w:type="continuationSeparator" w:id="0">
    <w:p w14:paraId="0E9ABC72" w14:textId="77777777" w:rsidR="00A806D3" w:rsidRDefault="00A806D3"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7E1765">
      <w:fldChar w:fldCharType="begin"/>
    </w:r>
    <w:r w:rsidR="007E1765">
      <w:instrText xml:space="preserve"> STYLEREF  ToolNumber  \* MERGEFORMAT </w:instrText>
    </w:r>
    <w:r w:rsidR="007E1765">
      <w:fldChar w:fldCharType="separate"/>
    </w:r>
    <w:r w:rsidR="007E1765">
      <w:rPr>
        <w:noProof/>
      </w:rPr>
      <w:t>50</w:t>
    </w:r>
    <w:r w:rsidR="007E1765">
      <w:rPr>
        <w:noProof/>
      </w:rPr>
      <w:fldChar w:fldCharType="end"/>
    </w:r>
    <w:r w:rsidRPr="00C66F5C">
      <w:t xml:space="preserve"> </w:t>
    </w:r>
    <w:r>
      <w:t xml:space="preserve">  |   Page </w:t>
    </w:r>
    <w:r>
      <w:fldChar w:fldCharType="begin"/>
    </w:r>
    <w:r>
      <w:instrText xml:space="preserve"> PAGE  \* MERGEFORMAT </w:instrText>
    </w:r>
    <w:r>
      <w:fldChar w:fldCharType="separate"/>
    </w:r>
    <w:r w:rsidR="007E176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F3B43" w14:textId="77777777" w:rsidR="00A806D3" w:rsidRDefault="00A806D3" w:rsidP="0078684C">
      <w:r>
        <w:separator/>
      </w:r>
    </w:p>
  </w:footnote>
  <w:footnote w:type="continuationSeparator" w:id="0">
    <w:p w14:paraId="33F7E280" w14:textId="77777777" w:rsidR="00A806D3" w:rsidRDefault="00A806D3"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1765"/>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06D3"/>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A735EE7-A97E-4068-9DF2-F52047A3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2014-03-25T13:45:00Z</dcterms:created>
  <dcterms:modified xsi:type="dcterms:W3CDTF">2014-04-04T18:20:00Z</dcterms:modified>
</cp:coreProperties>
</file>