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24452" w14:textId="77777777" w:rsidR="00743DDC" w:rsidRPr="00AE7C7C" w:rsidRDefault="00743DDC" w:rsidP="00743DDC">
      <w:pPr>
        <w:spacing w:line="240" w:lineRule="auto"/>
        <w:rPr>
          <w:sz w:val="14"/>
          <w:szCs w:val="14"/>
        </w:rPr>
      </w:pPr>
    </w:p>
    <w:p w14:paraId="4253FB25" w14:textId="77777777" w:rsidR="00743DDC" w:rsidRPr="0078684C" w:rsidRDefault="00743DDC" w:rsidP="00743DDC">
      <w:pPr>
        <w:pStyle w:val="ToolNumber"/>
        <w:spacing w:line="240" w:lineRule="auto"/>
      </w:pPr>
      <w:r w:rsidRPr="0000267B">
        <w:drawing>
          <wp:anchor distT="0" distB="0" distL="114300" distR="114300" simplePos="0" relativeHeight="252032000" behindDoc="1" locked="0" layoutInCell="1" allowOverlap="1" wp14:anchorId="2CBB1D36" wp14:editId="215C72F7">
            <wp:simplePos x="0" y="0"/>
            <wp:positionH relativeFrom="page">
              <wp:posOffset>-38100</wp:posOffset>
            </wp:positionH>
            <wp:positionV relativeFrom="page">
              <wp:posOffset>41275</wp:posOffset>
            </wp:positionV>
            <wp:extent cx="7772400" cy="987425"/>
            <wp:effectExtent l="0" t="0" r="0" b="317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w:t>
      </w:r>
    </w:p>
    <w:p w14:paraId="2AD68FF0" w14:textId="77777777" w:rsidR="00A14E6C" w:rsidRDefault="00071BC6" w:rsidP="00A14E6C">
      <w:pPr>
        <w:pStyle w:val="Heading1"/>
      </w:pPr>
      <w:r w:rsidRPr="00071BC6">
        <w:rPr>
          <w:iCs/>
        </w:rPr>
        <w:t>Sample Policies and Procedures Table of Contents</w:t>
      </w:r>
    </w:p>
    <w:p w14:paraId="045CA755" w14:textId="77777777" w:rsidR="00071BC6" w:rsidRPr="004175EA" w:rsidRDefault="00A14E6C" w:rsidP="00C62EFF">
      <w:pPr>
        <w:pStyle w:val="Body-AllItalic"/>
        <w:rPr>
          <w:i w:val="0"/>
        </w:rPr>
      </w:pPr>
      <w:r w:rsidRPr="004175EA">
        <w:rPr>
          <w:i w:val="0"/>
          <w:noProof/>
        </w:rPr>
        <w:drawing>
          <wp:anchor distT="0" distB="0" distL="114300" distR="114300" simplePos="0" relativeHeight="251683840" behindDoc="0" locked="0" layoutInCell="1" allowOverlap="1" wp14:anchorId="72B3391B" wp14:editId="16A6130C">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71BC6" w:rsidRPr="004175EA">
        <w:rPr>
          <w:i w:val="0"/>
        </w:rPr>
        <w:t xml:space="preserve">In Chapter 1, you learned that having policies and procedures promotes standardized practices that ultimately ensure safety, support staff member retention, and promote high-quality programming. </w:t>
      </w:r>
    </w:p>
    <w:p w14:paraId="718C23BE" w14:textId="77777777" w:rsidR="00071BC6" w:rsidRPr="004175EA" w:rsidRDefault="00071BC6" w:rsidP="00C62EFF">
      <w:pPr>
        <w:pStyle w:val="BodyText"/>
        <w:rPr>
          <w:i/>
        </w:rPr>
      </w:pPr>
      <w:r w:rsidRPr="004175EA">
        <w:rPr>
          <w:b/>
          <w:i/>
        </w:rPr>
        <w:t>Directions:</w:t>
      </w:r>
      <w:r w:rsidRPr="004175EA">
        <w:rPr>
          <w:i/>
        </w:rPr>
        <w:t xml:space="preserve"> Use this sample table of contents to guide the development of your policies and procedures manual or handbook. You may decide to use all or some of the policies and procedures listed here, and you may decide to add policies and procedures specific to your program. Make sure your handbook is available in multiple formats (online and in print), at all of your locations, and in the languages spoken in your program. </w:t>
      </w:r>
    </w:p>
    <w:p w14:paraId="2844353F" w14:textId="77777777" w:rsidR="00A17C48" w:rsidRDefault="00A17C48" w:rsidP="00D0266C">
      <w:pPr>
        <w:pStyle w:val="BodyText"/>
        <w:rPr>
          <w:b/>
        </w:rPr>
      </w:pPr>
    </w:p>
    <w:p w14:paraId="5BBB8A3A" w14:textId="77777777" w:rsidR="00D0266C" w:rsidRPr="00D0266C" w:rsidRDefault="00D0266C" w:rsidP="00D0266C">
      <w:pPr>
        <w:pStyle w:val="BodyText"/>
      </w:pPr>
      <w:r w:rsidRPr="00D0266C">
        <w:rPr>
          <w:b/>
        </w:rPr>
        <w:t>Facilities Policy:</w:t>
      </w:r>
      <w:r w:rsidRPr="00D0266C">
        <w:t xml:space="preserve"> To ensure a safe and secure environment that adheres to local building codes and licensure requirements </w:t>
      </w:r>
    </w:p>
    <w:p w14:paraId="44B2B2D4" w14:textId="77777777" w:rsidR="00D0266C" w:rsidRPr="00D0266C" w:rsidRDefault="00D0266C" w:rsidP="004175EA">
      <w:pPr>
        <w:pStyle w:val="TOC1"/>
      </w:pPr>
      <w:r w:rsidRPr="00D0266C">
        <w:t>Facilities Procedures</w:t>
      </w:r>
      <w:r w:rsidR="00C52B5E">
        <w:tab/>
      </w:r>
      <w:r w:rsidRPr="00D0266C">
        <w:t>pg XX</w:t>
      </w:r>
    </w:p>
    <w:p w14:paraId="16834E1A" w14:textId="77777777" w:rsidR="00D0266C" w:rsidRPr="00D0266C" w:rsidRDefault="00D0266C" w:rsidP="00774F31">
      <w:pPr>
        <w:pStyle w:val="TOC2"/>
        <w:ind w:left="360"/>
      </w:pPr>
      <w:r w:rsidRPr="00D0266C">
        <w:t>Safety/Security</w:t>
      </w:r>
    </w:p>
    <w:p w14:paraId="4658022D" w14:textId="77777777" w:rsidR="00D0266C" w:rsidRPr="00D0266C" w:rsidRDefault="00D0266C" w:rsidP="00774F31">
      <w:pPr>
        <w:pStyle w:val="TOC2"/>
        <w:ind w:left="360"/>
      </w:pPr>
      <w:r w:rsidRPr="00D0266C">
        <w:t>Indoor/Outdoor Maintenance</w:t>
      </w:r>
    </w:p>
    <w:p w14:paraId="3958642C" w14:textId="77777777" w:rsidR="00D0266C" w:rsidRPr="00D0266C" w:rsidRDefault="00D0266C" w:rsidP="00774F31">
      <w:pPr>
        <w:pStyle w:val="TOC2"/>
        <w:ind w:left="360"/>
      </w:pPr>
      <w:r w:rsidRPr="00D0266C">
        <w:t xml:space="preserve">Emergency </w:t>
      </w:r>
    </w:p>
    <w:p w14:paraId="0F07AE13" w14:textId="77777777" w:rsidR="00D0266C" w:rsidRPr="00D0266C" w:rsidRDefault="00D0266C" w:rsidP="00774F31">
      <w:pPr>
        <w:pStyle w:val="TOC2"/>
        <w:ind w:left="360"/>
      </w:pPr>
      <w:r w:rsidRPr="00D0266C">
        <w:t>Licensure</w:t>
      </w:r>
    </w:p>
    <w:p w14:paraId="34ADCA52" w14:textId="77777777" w:rsidR="00D0266C" w:rsidRPr="00D0266C" w:rsidRDefault="00D0266C" w:rsidP="00774F31">
      <w:pPr>
        <w:pStyle w:val="TOC2"/>
        <w:ind w:left="360"/>
      </w:pPr>
      <w:r w:rsidRPr="00D0266C">
        <w:t>Weather Conditions</w:t>
      </w:r>
    </w:p>
    <w:p w14:paraId="0A378735" w14:textId="77777777" w:rsidR="00D0266C" w:rsidRPr="00D0266C" w:rsidRDefault="00D0266C" w:rsidP="00774F31">
      <w:pPr>
        <w:pStyle w:val="TOC2"/>
        <w:ind w:left="360"/>
      </w:pPr>
      <w:r w:rsidRPr="00D0266C">
        <w:t>Special Facilities Procedures (e.g., pools, computer labs, gymnasiums)</w:t>
      </w:r>
    </w:p>
    <w:p w14:paraId="0F4AA073" w14:textId="77777777" w:rsidR="00D0266C" w:rsidRPr="00D0266C" w:rsidRDefault="00D0266C" w:rsidP="00774F31">
      <w:pPr>
        <w:pStyle w:val="TOC2"/>
        <w:ind w:left="360"/>
      </w:pPr>
      <w:r w:rsidRPr="00D0266C">
        <w:t>Fire Escape Procedures</w:t>
      </w:r>
    </w:p>
    <w:p w14:paraId="3CFA04FD" w14:textId="77777777" w:rsidR="00D0266C" w:rsidRPr="00D0266C" w:rsidRDefault="00D0266C" w:rsidP="004175EA">
      <w:pPr>
        <w:pStyle w:val="BodyText"/>
        <w:spacing w:before="240"/>
      </w:pPr>
      <w:r w:rsidRPr="00D0266C">
        <w:rPr>
          <w:b/>
        </w:rPr>
        <w:t>Development Policy:</w:t>
      </w:r>
      <w:r w:rsidRPr="00D0266C">
        <w:t xml:space="preserve"> To secure diversified funds and goods for programming, to convene and respond to stakeholder groups, and to disseminate information broadly </w:t>
      </w:r>
    </w:p>
    <w:p w14:paraId="5E9E3400" w14:textId="77777777" w:rsidR="00D0266C" w:rsidRPr="00D0266C" w:rsidRDefault="00D0266C" w:rsidP="004175EA">
      <w:pPr>
        <w:pStyle w:val="TOC1"/>
      </w:pPr>
      <w:r w:rsidRPr="00D0266C">
        <w:t>Development Procedures</w:t>
      </w:r>
      <w:r w:rsidR="00774F31">
        <w:tab/>
      </w:r>
      <w:r w:rsidRPr="00D0266C">
        <w:t>pg XX</w:t>
      </w:r>
    </w:p>
    <w:p w14:paraId="763DD8E3" w14:textId="77777777" w:rsidR="00D0266C" w:rsidRPr="00D0266C" w:rsidRDefault="00D0266C" w:rsidP="00774F31">
      <w:pPr>
        <w:pStyle w:val="TOC2"/>
        <w:ind w:left="360"/>
      </w:pPr>
      <w:r w:rsidRPr="00D0266C">
        <w:t>Board Stewardship</w:t>
      </w:r>
    </w:p>
    <w:p w14:paraId="3DB66417" w14:textId="77777777" w:rsidR="00D0266C" w:rsidRPr="00D0266C" w:rsidRDefault="00D0266C" w:rsidP="00774F31">
      <w:pPr>
        <w:pStyle w:val="TOC2"/>
        <w:ind w:left="360"/>
      </w:pPr>
      <w:r w:rsidRPr="00D0266C">
        <w:t>Fundraising</w:t>
      </w:r>
    </w:p>
    <w:p w14:paraId="192AA84A" w14:textId="77777777" w:rsidR="00D0266C" w:rsidRPr="00D0266C" w:rsidRDefault="00D0266C" w:rsidP="00774F31">
      <w:pPr>
        <w:pStyle w:val="TOC2"/>
        <w:ind w:left="360"/>
      </w:pPr>
      <w:r w:rsidRPr="00D0266C">
        <w:t>Communications</w:t>
      </w:r>
    </w:p>
    <w:p w14:paraId="1486E1DF" w14:textId="77777777" w:rsidR="00D0266C" w:rsidRPr="00D0266C" w:rsidRDefault="00D0266C" w:rsidP="00774F31">
      <w:pPr>
        <w:pStyle w:val="TOC2"/>
        <w:ind w:left="360"/>
      </w:pPr>
      <w:r w:rsidRPr="00D0266C">
        <w:t>Reporting</w:t>
      </w:r>
    </w:p>
    <w:p w14:paraId="1593EA54" w14:textId="77777777" w:rsidR="00D0266C" w:rsidRDefault="00D0266C" w:rsidP="00774F31">
      <w:pPr>
        <w:pStyle w:val="TOC2"/>
        <w:ind w:left="360"/>
      </w:pPr>
      <w:r w:rsidRPr="00D0266C">
        <w:t>Conflict of Interest</w:t>
      </w:r>
    </w:p>
    <w:p w14:paraId="66914279" w14:textId="77777777" w:rsidR="00B809B3" w:rsidRDefault="00B809B3">
      <w:pPr>
        <w:spacing w:after="200"/>
      </w:pPr>
      <w:r>
        <w:br w:type="page"/>
      </w:r>
    </w:p>
    <w:p w14:paraId="6DB0115E" w14:textId="77777777" w:rsidR="00D0266C" w:rsidRPr="00D0266C" w:rsidRDefault="00D0266C" w:rsidP="00D0266C">
      <w:pPr>
        <w:pStyle w:val="BodyText"/>
      </w:pPr>
      <w:r w:rsidRPr="00D0266C">
        <w:rPr>
          <w:b/>
        </w:rPr>
        <w:lastRenderedPageBreak/>
        <w:t>Accounting Policy:</w:t>
      </w:r>
      <w:r w:rsidRPr="00D0266C">
        <w:t xml:space="preserve"> To uphold accounting practices to the highest standard and within the specifications of the designated business model/tax code </w:t>
      </w:r>
    </w:p>
    <w:p w14:paraId="16973531" w14:textId="77777777" w:rsidR="00D0266C" w:rsidRPr="00D0266C" w:rsidRDefault="00D0266C" w:rsidP="004175EA">
      <w:pPr>
        <w:pStyle w:val="TOC1"/>
      </w:pPr>
      <w:r w:rsidRPr="00D0266C">
        <w:t>Accounting Procedures</w:t>
      </w:r>
      <w:r w:rsidR="00774F31">
        <w:tab/>
      </w:r>
      <w:r w:rsidRPr="00D0266C">
        <w:t>pg XX</w:t>
      </w:r>
    </w:p>
    <w:p w14:paraId="41E05DF6" w14:textId="77777777" w:rsidR="00D0266C" w:rsidRPr="00D0266C" w:rsidRDefault="00D0266C" w:rsidP="00774F31">
      <w:pPr>
        <w:pStyle w:val="TOC2"/>
        <w:ind w:left="360"/>
      </w:pPr>
      <w:r w:rsidRPr="00D0266C">
        <w:t>Internal Controls</w:t>
      </w:r>
    </w:p>
    <w:p w14:paraId="578172F1" w14:textId="77777777" w:rsidR="00D0266C" w:rsidRPr="00D0266C" w:rsidRDefault="00D0266C" w:rsidP="00774F31">
      <w:pPr>
        <w:pStyle w:val="TOC2"/>
        <w:ind w:left="360"/>
      </w:pPr>
      <w:r w:rsidRPr="00D0266C">
        <w:t xml:space="preserve">Financial Planning </w:t>
      </w:r>
    </w:p>
    <w:p w14:paraId="1C2379D2" w14:textId="77777777" w:rsidR="00D0266C" w:rsidRPr="00D0266C" w:rsidRDefault="00D0266C" w:rsidP="00774F31">
      <w:pPr>
        <w:pStyle w:val="TOC2"/>
        <w:ind w:left="360"/>
      </w:pPr>
      <w:r w:rsidRPr="00D0266C">
        <w:t>Reporting, Revenue/Accounts Receivable</w:t>
      </w:r>
    </w:p>
    <w:p w14:paraId="180520D8" w14:textId="77777777" w:rsidR="00D0266C" w:rsidRPr="00D0266C" w:rsidRDefault="00D0266C" w:rsidP="00774F31">
      <w:pPr>
        <w:pStyle w:val="TOC2"/>
        <w:ind w:left="360"/>
      </w:pPr>
      <w:r w:rsidRPr="00D0266C">
        <w:t>Expense/Accounts Payable</w:t>
      </w:r>
    </w:p>
    <w:p w14:paraId="17C9B0C0" w14:textId="77777777" w:rsidR="00D0266C" w:rsidRPr="00D0266C" w:rsidRDefault="00D0266C" w:rsidP="00774F31">
      <w:pPr>
        <w:pStyle w:val="TOC2"/>
        <w:ind w:left="360"/>
      </w:pPr>
      <w:r w:rsidRPr="00D0266C">
        <w:t>In-Kind Contributions</w:t>
      </w:r>
    </w:p>
    <w:p w14:paraId="2F8E64A8" w14:textId="77777777" w:rsidR="00D0266C" w:rsidRPr="00D0266C" w:rsidRDefault="00D0266C" w:rsidP="00774F31">
      <w:pPr>
        <w:pStyle w:val="TOC2"/>
        <w:ind w:left="360"/>
      </w:pPr>
      <w:r w:rsidRPr="00D0266C">
        <w:t>Asset Management</w:t>
      </w:r>
    </w:p>
    <w:p w14:paraId="04B84FA3" w14:textId="77777777" w:rsidR="00D0266C" w:rsidRPr="00D0266C" w:rsidRDefault="00D0266C" w:rsidP="004175EA">
      <w:pPr>
        <w:pStyle w:val="BodyText"/>
        <w:spacing w:before="240"/>
      </w:pPr>
      <w:r w:rsidRPr="00D0266C">
        <w:rPr>
          <w:b/>
        </w:rPr>
        <w:t>Staff/Personnel Policy:</w:t>
      </w:r>
      <w:r w:rsidRPr="00D0266C">
        <w:t xml:space="preserve"> To hire and retain staff members without bias and in the interest of their professional development </w:t>
      </w:r>
    </w:p>
    <w:p w14:paraId="2DD3C215" w14:textId="77777777" w:rsidR="00D0266C" w:rsidRPr="00D0266C" w:rsidRDefault="00D0266C" w:rsidP="004175EA">
      <w:pPr>
        <w:pStyle w:val="TOC1"/>
      </w:pPr>
      <w:r w:rsidRPr="00D0266C">
        <w:t>Staff/Personnel Procedures</w:t>
      </w:r>
      <w:r w:rsidR="00774F31">
        <w:tab/>
      </w:r>
      <w:r w:rsidRPr="00D0266C">
        <w:t>pg XX</w:t>
      </w:r>
    </w:p>
    <w:p w14:paraId="2FC97D5E" w14:textId="77777777" w:rsidR="00D0266C" w:rsidRPr="00D0266C" w:rsidRDefault="00D0266C" w:rsidP="00774F31">
      <w:pPr>
        <w:pStyle w:val="TOC2"/>
        <w:ind w:left="360"/>
      </w:pPr>
      <w:r w:rsidRPr="00D0266C">
        <w:t xml:space="preserve">Recruitment/Hiring </w:t>
      </w:r>
    </w:p>
    <w:p w14:paraId="5FDB3B8A" w14:textId="77777777" w:rsidR="00D0266C" w:rsidRPr="00D0266C" w:rsidRDefault="00D0266C" w:rsidP="00774F31">
      <w:pPr>
        <w:pStyle w:val="TOC2"/>
        <w:ind w:left="360"/>
      </w:pPr>
      <w:r w:rsidRPr="00D0266C">
        <w:t>Background Checks</w:t>
      </w:r>
    </w:p>
    <w:p w14:paraId="78880667" w14:textId="77777777" w:rsidR="00D0266C" w:rsidRPr="00D0266C" w:rsidRDefault="00D0266C" w:rsidP="00774F31">
      <w:pPr>
        <w:pStyle w:val="TOC2"/>
        <w:ind w:left="360"/>
      </w:pPr>
      <w:r w:rsidRPr="00D0266C">
        <w:t>Supervision</w:t>
      </w:r>
    </w:p>
    <w:p w14:paraId="156AA57E" w14:textId="77777777" w:rsidR="00D0266C" w:rsidRPr="00D0266C" w:rsidRDefault="00D0266C" w:rsidP="00774F31">
      <w:pPr>
        <w:pStyle w:val="TOC2"/>
        <w:ind w:left="360"/>
      </w:pPr>
      <w:r w:rsidRPr="00D0266C">
        <w:t>Promotion</w:t>
      </w:r>
    </w:p>
    <w:p w14:paraId="375B80DB" w14:textId="77777777" w:rsidR="00D0266C" w:rsidRPr="00D0266C" w:rsidRDefault="00D0266C" w:rsidP="00774F31">
      <w:pPr>
        <w:pStyle w:val="TOC2"/>
        <w:ind w:left="360"/>
      </w:pPr>
      <w:r w:rsidRPr="00D0266C">
        <w:t>Salaries/Benefits</w:t>
      </w:r>
    </w:p>
    <w:p w14:paraId="4C6B203C" w14:textId="77777777" w:rsidR="00D0266C" w:rsidRPr="00D0266C" w:rsidRDefault="00D0266C" w:rsidP="00774F31">
      <w:pPr>
        <w:pStyle w:val="TOC2"/>
        <w:ind w:left="360"/>
      </w:pPr>
      <w:r w:rsidRPr="00D0266C">
        <w:t>Leave/Vacation</w:t>
      </w:r>
    </w:p>
    <w:p w14:paraId="44C06CFF" w14:textId="77777777" w:rsidR="00D0266C" w:rsidRPr="00D0266C" w:rsidRDefault="00D0266C" w:rsidP="00774F31">
      <w:pPr>
        <w:pStyle w:val="TOC2"/>
        <w:ind w:left="360"/>
      </w:pPr>
      <w:r w:rsidRPr="00D0266C">
        <w:t>Staff Member Dismissal</w:t>
      </w:r>
    </w:p>
    <w:p w14:paraId="25224C41" w14:textId="77777777" w:rsidR="00D0266C" w:rsidRPr="00D0266C" w:rsidRDefault="00D0266C" w:rsidP="00774F31">
      <w:pPr>
        <w:pStyle w:val="TOC2"/>
        <w:ind w:left="360"/>
      </w:pPr>
      <w:r w:rsidRPr="00D0266C">
        <w:t>Substitute Procedures</w:t>
      </w:r>
    </w:p>
    <w:p w14:paraId="2FD41662" w14:textId="77777777" w:rsidR="00D0266C" w:rsidRPr="00D0266C" w:rsidRDefault="00D0266C" w:rsidP="004175EA">
      <w:pPr>
        <w:pStyle w:val="BodyText"/>
        <w:spacing w:before="240"/>
      </w:pPr>
      <w:r w:rsidRPr="00D0266C">
        <w:rPr>
          <w:b/>
        </w:rPr>
        <w:t xml:space="preserve">Program and Participant Policy: </w:t>
      </w:r>
      <w:r w:rsidRPr="00D0266C">
        <w:t xml:space="preserve">To be equitable in the recruitment, enrollment, and retention of participants; to promote the strengths of each participant and to offer high-quality programs where youth can learn and develop </w:t>
      </w:r>
    </w:p>
    <w:p w14:paraId="766B6CFD" w14:textId="77777777" w:rsidR="00D0266C" w:rsidRPr="00D0266C" w:rsidRDefault="00D0266C" w:rsidP="004175EA">
      <w:pPr>
        <w:pStyle w:val="TOC1"/>
      </w:pPr>
      <w:r w:rsidRPr="00D0266C">
        <w:t>Program and Participant Procedures</w:t>
      </w:r>
      <w:r w:rsidR="00774F31">
        <w:tab/>
      </w:r>
      <w:r w:rsidRPr="00D0266C">
        <w:t xml:space="preserve">pg XX </w:t>
      </w:r>
    </w:p>
    <w:p w14:paraId="12411961" w14:textId="77777777" w:rsidR="00D0266C" w:rsidRPr="00D0266C" w:rsidRDefault="00D0266C" w:rsidP="00774F31">
      <w:pPr>
        <w:pStyle w:val="TOC2"/>
        <w:ind w:left="360"/>
      </w:pPr>
      <w:r w:rsidRPr="00D0266C">
        <w:t>Enrollment/Wait Lists</w:t>
      </w:r>
    </w:p>
    <w:p w14:paraId="66774E44" w14:textId="77777777" w:rsidR="00D0266C" w:rsidRPr="00D0266C" w:rsidRDefault="00D0266C" w:rsidP="00774F31">
      <w:pPr>
        <w:pStyle w:val="TOC2"/>
        <w:ind w:left="360"/>
      </w:pPr>
      <w:r w:rsidRPr="00D0266C">
        <w:t xml:space="preserve">Participant Inclusion </w:t>
      </w:r>
    </w:p>
    <w:p w14:paraId="0A02711B" w14:textId="77777777" w:rsidR="00D0266C" w:rsidRPr="00D0266C" w:rsidRDefault="00D0266C" w:rsidP="00774F31">
      <w:pPr>
        <w:pStyle w:val="TOC2"/>
        <w:ind w:left="360"/>
      </w:pPr>
      <w:r w:rsidRPr="00D0266C">
        <w:t>Attendance</w:t>
      </w:r>
    </w:p>
    <w:p w14:paraId="1AB9C997" w14:textId="77777777" w:rsidR="00D0266C" w:rsidRPr="00D0266C" w:rsidRDefault="00D0266C" w:rsidP="00774F31">
      <w:pPr>
        <w:pStyle w:val="TOC2"/>
        <w:ind w:left="360"/>
      </w:pPr>
      <w:r w:rsidRPr="00D0266C">
        <w:t xml:space="preserve">Activity Planning and Implementation </w:t>
      </w:r>
    </w:p>
    <w:p w14:paraId="647762D8" w14:textId="77777777" w:rsidR="00D0266C" w:rsidRPr="00D0266C" w:rsidRDefault="00D0266C" w:rsidP="00774F31">
      <w:pPr>
        <w:pStyle w:val="TOC2"/>
        <w:ind w:left="360"/>
      </w:pPr>
      <w:r w:rsidRPr="00D0266C">
        <w:t>Medical History and Intervention</w:t>
      </w:r>
    </w:p>
    <w:p w14:paraId="5317F320" w14:textId="77777777" w:rsidR="00D0266C" w:rsidRPr="00D0266C" w:rsidRDefault="00D0266C" w:rsidP="00774F31">
      <w:pPr>
        <w:pStyle w:val="TOC2"/>
        <w:ind w:left="360"/>
      </w:pPr>
      <w:r w:rsidRPr="00D0266C">
        <w:t>Behavior Supports and Management</w:t>
      </w:r>
    </w:p>
    <w:p w14:paraId="58D6F9BA" w14:textId="77777777" w:rsidR="00D0266C" w:rsidRPr="00D0266C" w:rsidRDefault="00D0266C" w:rsidP="00774F31">
      <w:pPr>
        <w:pStyle w:val="TOC2"/>
        <w:ind w:left="360"/>
      </w:pPr>
      <w:r w:rsidRPr="00D0266C">
        <w:t>Discipline</w:t>
      </w:r>
    </w:p>
    <w:p w14:paraId="4A372C03" w14:textId="77777777" w:rsidR="00D0266C" w:rsidRPr="00D0266C" w:rsidRDefault="00D0266C" w:rsidP="00774F31">
      <w:pPr>
        <w:pStyle w:val="TOC2"/>
        <w:ind w:left="360"/>
      </w:pPr>
      <w:r w:rsidRPr="00D0266C">
        <w:t>Mandated Reporting</w:t>
      </w:r>
    </w:p>
    <w:p w14:paraId="41A047F4" w14:textId="77777777" w:rsidR="00D0266C" w:rsidRPr="00D0266C" w:rsidRDefault="00D0266C" w:rsidP="00774F31">
      <w:pPr>
        <w:pStyle w:val="TOC2"/>
        <w:ind w:left="360"/>
      </w:pPr>
      <w:r w:rsidRPr="00D0266C">
        <w:t>Transportation</w:t>
      </w:r>
    </w:p>
    <w:p w14:paraId="3CF545D1" w14:textId="77777777" w:rsidR="00D0266C" w:rsidRPr="00D0266C" w:rsidRDefault="00D0266C" w:rsidP="00774F31">
      <w:pPr>
        <w:pStyle w:val="TOC3"/>
        <w:ind w:left="720"/>
      </w:pPr>
      <w:r w:rsidRPr="00D0266C">
        <w:t>Pick-Up and Dismissal</w:t>
      </w:r>
    </w:p>
    <w:p w14:paraId="2884252A" w14:textId="77777777" w:rsidR="00D0266C" w:rsidRPr="00D0266C" w:rsidRDefault="00D0266C" w:rsidP="00774F31">
      <w:pPr>
        <w:pStyle w:val="TOC3"/>
        <w:ind w:left="720"/>
      </w:pPr>
      <w:r w:rsidRPr="00D0266C">
        <w:t xml:space="preserve">Bus Policies </w:t>
      </w:r>
    </w:p>
    <w:p w14:paraId="7092859C" w14:textId="77777777" w:rsidR="00D0266C" w:rsidRPr="00D0266C" w:rsidRDefault="00D0266C" w:rsidP="00774F31">
      <w:pPr>
        <w:pStyle w:val="TOC2"/>
        <w:ind w:left="360"/>
      </w:pPr>
      <w:r w:rsidRPr="00D0266C">
        <w:t>Field Trips</w:t>
      </w:r>
    </w:p>
    <w:p w14:paraId="401CAB35" w14:textId="77777777" w:rsidR="0022090C" w:rsidRDefault="0022090C">
      <w:pPr>
        <w:spacing w:after="200"/>
        <w:rPr>
          <w:b/>
        </w:rPr>
      </w:pPr>
      <w:r>
        <w:rPr>
          <w:b/>
        </w:rPr>
        <w:br w:type="page"/>
      </w:r>
    </w:p>
    <w:p w14:paraId="26E0DBB5" w14:textId="77777777" w:rsidR="00D0266C" w:rsidRPr="00D0266C" w:rsidRDefault="00D0266C" w:rsidP="00D0266C">
      <w:pPr>
        <w:pStyle w:val="BodyText"/>
      </w:pPr>
      <w:r w:rsidRPr="00D0266C">
        <w:rPr>
          <w:b/>
        </w:rPr>
        <w:lastRenderedPageBreak/>
        <w:t>Data and Evaluation Policy:</w:t>
      </w:r>
      <w:r w:rsidRPr="00D0266C">
        <w:t xml:space="preserve"> To use evaluation studies and participant data ethically in program improvement efforts and for research </w:t>
      </w:r>
    </w:p>
    <w:p w14:paraId="1B598539" w14:textId="77777777" w:rsidR="00D0266C" w:rsidRPr="00D0266C" w:rsidRDefault="00D0266C" w:rsidP="004175EA">
      <w:pPr>
        <w:pStyle w:val="TOC1"/>
      </w:pPr>
      <w:r w:rsidRPr="00D0266C">
        <w:t>Data and Evaluation Procedures</w:t>
      </w:r>
      <w:r w:rsidR="00774F31">
        <w:tab/>
      </w:r>
      <w:r w:rsidRPr="00D0266C">
        <w:t xml:space="preserve">pg XX </w:t>
      </w:r>
    </w:p>
    <w:p w14:paraId="5458A6B6" w14:textId="77777777" w:rsidR="00D0266C" w:rsidRPr="00D0266C" w:rsidRDefault="00D0266C" w:rsidP="00774F31">
      <w:pPr>
        <w:pStyle w:val="BodyText"/>
        <w:ind w:left="360"/>
      </w:pPr>
      <w:r w:rsidRPr="00D0266C">
        <w:t xml:space="preserve">Data Use </w:t>
      </w:r>
    </w:p>
    <w:p w14:paraId="68006723" w14:textId="77777777" w:rsidR="00D0266C" w:rsidRPr="00D0266C" w:rsidRDefault="00D0266C" w:rsidP="00774F31">
      <w:pPr>
        <w:pStyle w:val="BodyText"/>
        <w:ind w:left="360"/>
      </w:pPr>
      <w:r w:rsidRPr="00D0266C">
        <w:t>Data Storage, Security, and Sharing</w:t>
      </w:r>
    </w:p>
    <w:p w14:paraId="72818D71" w14:textId="77777777" w:rsidR="00D0266C" w:rsidRPr="00D0266C" w:rsidRDefault="00D0266C" w:rsidP="00774F31">
      <w:pPr>
        <w:pStyle w:val="BodyText"/>
        <w:ind w:left="360"/>
      </w:pPr>
      <w:r w:rsidRPr="00D0266C">
        <w:t>Privacy and Guardianship</w:t>
      </w:r>
    </w:p>
    <w:p w14:paraId="6F1C1F2F" w14:textId="77777777" w:rsidR="00D0266C" w:rsidRPr="00D0266C" w:rsidRDefault="00D0266C" w:rsidP="00774F31">
      <w:pPr>
        <w:pStyle w:val="BodyText"/>
        <w:ind w:left="360"/>
      </w:pPr>
      <w:r w:rsidRPr="00D0266C">
        <w:t>FERPA</w:t>
      </w:r>
    </w:p>
    <w:p w14:paraId="24E54716" w14:textId="77777777" w:rsidR="00D0266C" w:rsidRPr="00D0266C" w:rsidRDefault="00D0266C" w:rsidP="00774F31">
      <w:pPr>
        <w:pStyle w:val="BodyText"/>
        <w:ind w:left="360"/>
      </w:pPr>
      <w:r w:rsidRPr="00D0266C">
        <w:t>Family Consent/Youth Assent for Surveys and Other Data Collection</w:t>
      </w:r>
    </w:p>
    <w:p w14:paraId="0AE4D7F5" w14:textId="77777777" w:rsidR="00D0266C" w:rsidRPr="00D0266C" w:rsidRDefault="00D0266C" w:rsidP="00774F31">
      <w:pPr>
        <w:pStyle w:val="BodyText"/>
        <w:ind w:left="360"/>
      </w:pPr>
      <w:r w:rsidRPr="00D0266C">
        <w:t>Reporting</w:t>
      </w:r>
    </w:p>
    <w:p w14:paraId="083D97FE" w14:textId="77777777" w:rsidR="00D0266C" w:rsidRPr="00D0266C" w:rsidRDefault="00D0266C" w:rsidP="004175EA">
      <w:pPr>
        <w:pStyle w:val="BodyText"/>
        <w:spacing w:before="240"/>
      </w:pPr>
      <w:r w:rsidRPr="008F1A99">
        <w:rPr>
          <w:b/>
        </w:rPr>
        <w:t>External Relations/Liability Policy:</w:t>
      </w:r>
      <w:r w:rsidRPr="00D0266C">
        <w:t xml:space="preserve"> To protect the organization/program, staff members, and participants from potential harm or exposure </w:t>
      </w:r>
    </w:p>
    <w:p w14:paraId="3DFC916A" w14:textId="77777777" w:rsidR="00D0266C" w:rsidRPr="00D0266C" w:rsidRDefault="00D0266C" w:rsidP="004175EA">
      <w:pPr>
        <w:pStyle w:val="TOC1"/>
      </w:pPr>
      <w:r w:rsidRPr="00D0266C">
        <w:t>External Relations/Liability Procedures</w:t>
      </w:r>
      <w:r w:rsidR="00774F31">
        <w:tab/>
      </w:r>
      <w:r w:rsidRPr="00D0266C">
        <w:t xml:space="preserve">pg XX </w:t>
      </w:r>
    </w:p>
    <w:p w14:paraId="1D635472" w14:textId="77777777" w:rsidR="00D0266C" w:rsidRPr="00D0266C" w:rsidRDefault="00D0266C" w:rsidP="00774F31">
      <w:pPr>
        <w:pStyle w:val="TOC2"/>
        <w:ind w:left="360"/>
      </w:pPr>
      <w:r w:rsidRPr="00D0266C">
        <w:t>Social Media</w:t>
      </w:r>
    </w:p>
    <w:p w14:paraId="06AB5117" w14:textId="77777777" w:rsidR="00D0266C" w:rsidRPr="00D0266C" w:rsidRDefault="00D0266C" w:rsidP="00774F31">
      <w:pPr>
        <w:pStyle w:val="TOC2"/>
        <w:ind w:left="360"/>
      </w:pPr>
      <w:r w:rsidRPr="00D0266C">
        <w:t xml:space="preserve">News Media </w:t>
      </w:r>
    </w:p>
    <w:p w14:paraId="75529141" w14:textId="77777777" w:rsidR="00D0266C" w:rsidRPr="00D0266C" w:rsidRDefault="00D0266C" w:rsidP="00774F31">
      <w:pPr>
        <w:pStyle w:val="TOC2"/>
        <w:ind w:left="360"/>
      </w:pPr>
      <w:r w:rsidRPr="00D0266C">
        <w:t>Advocacy</w:t>
      </w:r>
    </w:p>
    <w:p w14:paraId="7B9B69C3" w14:textId="77777777" w:rsidR="00D0266C" w:rsidRPr="00D0266C" w:rsidRDefault="00D0266C" w:rsidP="00774F31">
      <w:pPr>
        <w:pStyle w:val="TOC2"/>
        <w:ind w:left="360"/>
      </w:pPr>
      <w:r w:rsidRPr="00D0266C">
        <w:t>Consent (e.g., photo, information)</w:t>
      </w:r>
    </w:p>
    <w:p w14:paraId="1435677C" w14:textId="77777777" w:rsidR="00D0266C" w:rsidRPr="00D0266C" w:rsidRDefault="00D0266C" w:rsidP="00774F31">
      <w:pPr>
        <w:pStyle w:val="TOC2"/>
        <w:ind w:left="360"/>
      </w:pPr>
      <w:r w:rsidRPr="00D0266C">
        <w:t>Other Employment</w:t>
      </w:r>
    </w:p>
    <w:p w14:paraId="5FCFCD72" w14:textId="77777777" w:rsidR="00D0266C" w:rsidRPr="00D0266C" w:rsidRDefault="00D0266C" w:rsidP="00774F31">
      <w:pPr>
        <w:pStyle w:val="TOC2"/>
        <w:ind w:left="360"/>
      </w:pPr>
      <w:r w:rsidRPr="00D0266C">
        <w:t>Conflict of Interest</w:t>
      </w:r>
    </w:p>
    <w:p w14:paraId="4209809B" w14:textId="77777777" w:rsidR="00D0266C" w:rsidRPr="00D0266C" w:rsidRDefault="00D0266C" w:rsidP="00774F31">
      <w:pPr>
        <w:pStyle w:val="TOC2"/>
        <w:ind w:left="360"/>
      </w:pPr>
      <w:r w:rsidRPr="00D0266C">
        <w:t>Intellectual Property</w:t>
      </w:r>
    </w:p>
    <w:p w14:paraId="2343DEC6" w14:textId="3E12F7C0" w:rsidR="00F823D8" w:rsidRDefault="00F823D8" w:rsidP="0047218C">
      <w:pPr>
        <w:pStyle w:val="BodyText"/>
      </w:pPr>
    </w:p>
    <w:p w14:paraId="7DC60930" w14:textId="77777777" w:rsidR="00F823D8" w:rsidRDefault="00F823D8" w:rsidP="0047218C">
      <w:pPr>
        <w:pStyle w:val="BodyText"/>
      </w:pPr>
    </w:p>
    <w:p w14:paraId="315B61EC" w14:textId="70A1202C" w:rsidR="00D0266C" w:rsidRDefault="00D0266C" w:rsidP="0047218C">
      <w:pPr>
        <w:pStyle w:val="BodyText"/>
      </w:pPr>
      <w:bookmarkStart w:id="0" w:name="_GoBack"/>
      <w:bookmarkEnd w:id="0"/>
    </w:p>
    <w:sectPr w:rsidR="00D0266C" w:rsidSect="0005401D">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67BC3" w14:textId="77777777" w:rsidR="001A1447" w:rsidRDefault="001A1447" w:rsidP="0078684C">
      <w:r>
        <w:separator/>
      </w:r>
    </w:p>
  </w:endnote>
  <w:endnote w:type="continuationSeparator" w:id="0">
    <w:p w14:paraId="2C46A26B" w14:textId="77777777" w:rsidR="001A1447" w:rsidRDefault="001A144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FC16A9">
        <w:rPr>
          <w:noProof/>
        </w:rPr>
        <w:t>6</w:t>
      </w:r>
    </w:fldSimple>
    <w:r w:rsidRPr="00C66F5C">
      <w:t xml:space="preserve"> </w:t>
    </w:r>
    <w:r>
      <w:t xml:space="preserve">  |   Page </w:t>
    </w:r>
    <w:r>
      <w:fldChar w:fldCharType="begin"/>
    </w:r>
    <w:r>
      <w:instrText xml:space="preserve"> PAGE  \* MERGEFORMAT </w:instrText>
    </w:r>
    <w:r>
      <w:fldChar w:fldCharType="separate"/>
    </w:r>
    <w:r w:rsidR="00FC16A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DA745" w14:textId="77777777" w:rsidR="001A1447" w:rsidRDefault="001A1447" w:rsidP="0078684C">
      <w:r>
        <w:separator/>
      </w:r>
    </w:p>
  </w:footnote>
  <w:footnote w:type="continuationSeparator" w:id="0">
    <w:p w14:paraId="7CFB1669" w14:textId="77777777" w:rsidR="001A1447" w:rsidRDefault="001A144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47"/>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16A9"/>
    <w:rsid w:val="00FC2613"/>
    <w:rsid w:val="00FC3895"/>
    <w:rsid w:val="00FC4023"/>
    <w:rsid w:val="00FC4CE5"/>
    <w:rsid w:val="00FC7726"/>
    <w:rsid w:val="00FD28B2"/>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401B90-9D03-4355-B49F-405BE599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2014-03-25T14:29:00Z</dcterms:created>
  <dcterms:modified xsi:type="dcterms:W3CDTF">2014-03-25T15:29:00Z</dcterms:modified>
</cp:coreProperties>
</file>